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0A944" w14:textId="41CC45A7" w:rsidR="005211A5" w:rsidRPr="008519A9" w:rsidRDefault="005211A5">
      <w:pPr>
        <w:spacing w:before="240" w:after="200"/>
        <w:jc w:val="both"/>
        <w:rPr>
          <w:highlight w:val="white"/>
        </w:rPr>
      </w:pPr>
      <w:r w:rsidRPr="008519A9">
        <w:t xml:space="preserve">A LA PLAZA NÚM. </w:t>
      </w:r>
      <w:r w:rsidR="00CC479A" w:rsidRPr="008519A9">
        <w:rPr>
          <w:color w:val="388600"/>
        </w:rPr>
        <w:t>_______</w:t>
      </w:r>
      <w:r w:rsidRPr="008519A9">
        <w:rPr>
          <w:color w:val="388600"/>
        </w:rPr>
        <w:t xml:space="preserve"> </w:t>
      </w:r>
      <w:r w:rsidRPr="008519A9">
        <w:t xml:space="preserve">DE LA SECCIÓN CIVIL DEL TRIBUNAL DE INSTANCIA DE </w:t>
      </w:r>
      <w:r w:rsidR="00CC479A" w:rsidRPr="008519A9">
        <w:rPr>
          <w:color w:val="388600"/>
        </w:rPr>
        <w:t>________</w:t>
      </w:r>
    </w:p>
    <w:p w14:paraId="7ABC6CF6" w14:textId="1DE53ABA" w:rsidR="00D3034D" w:rsidRPr="008519A9" w:rsidRDefault="005211A5">
      <w:pPr>
        <w:spacing w:before="240" w:after="200"/>
        <w:jc w:val="both"/>
        <w:rPr>
          <w:highlight w:val="white"/>
        </w:rPr>
      </w:pPr>
      <w:r w:rsidRPr="008519A9">
        <w:rPr>
          <w:highlight w:val="white"/>
        </w:rPr>
        <w:t xml:space="preserve">Ejecución de títulos judiciales </w:t>
      </w:r>
      <w:r w:rsidR="00CC479A" w:rsidRPr="008519A9">
        <w:rPr>
          <w:color w:val="388600"/>
          <w:highlight w:val="white"/>
        </w:rPr>
        <w:t>_________</w:t>
      </w:r>
    </w:p>
    <w:p w14:paraId="29AD0963" w14:textId="77777777" w:rsidR="00D3034D" w:rsidRPr="008519A9" w:rsidRDefault="00D739F2">
      <w:pPr>
        <w:spacing w:before="240" w:after="240"/>
        <w:rPr>
          <w:highlight w:val="white"/>
        </w:rPr>
      </w:pPr>
      <w:r w:rsidRPr="008519A9">
        <w:rPr>
          <w:highlight w:val="white"/>
        </w:rPr>
        <w:t xml:space="preserve"> </w:t>
      </w:r>
    </w:p>
    <w:p w14:paraId="6E4DE3B8" w14:textId="06BDBB7A" w:rsidR="00D3034D" w:rsidRPr="008519A9" w:rsidRDefault="00D739F2">
      <w:pPr>
        <w:spacing w:before="240" w:after="200"/>
        <w:jc w:val="center"/>
        <w:rPr>
          <w:b/>
          <w:bCs/>
          <w:sz w:val="28"/>
          <w:szCs w:val="28"/>
          <w:highlight w:val="white"/>
        </w:rPr>
      </w:pPr>
      <w:r w:rsidRPr="008519A9">
        <w:rPr>
          <w:b/>
          <w:bCs/>
          <w:sz w:val="28"/>
          <w:szCs w:val="28"/>
          <w:highlight w:val="white"/>
        </w:rPr>
        <w:t>A</w:t>
      </w:r>
      <w:r w:rsidR="00D47BDE" w:rsidRPr="008519A9">
        <w:rPr>
          <w:b/>
          <w:bCs/>
          <w:sz w:val="28"/>
          <w:szCs w:val="28"/>
          <w:highlight w:val="white"/>
        </w:rPr>
        <w:t xml:space="preserve"> LA PLAZA NÚM. </w:t>
      </w:r>
      <w:r w:rsidR="00CC479A" w:rsidRPr="008519A9">
        <w:rPr>
          <w:b/>
          <w:bCs/>
          <w:color w:val="388600"/>
          <w:sz w:val="28"/>
          <w:szCs w:val="28"/>
          <w:highlight w:val="white"/>
        </w:rPr>
        <w:t>____</w:t>
      </w:r>
      <w:r w:rsidR="00D47BDE" w:rsidRPr="008519A9">
        <w:rPr>
          <w:b/>
          <w:bCs/>
          <w:color w:val="388600"/>
          <w:sz w:val="28"/>
          <w:szCs w:val="28"/>
          <w:highlight w:val="white"/>
        </w:rPr>
        <w:t xml:space="preserve"> </w:t>
      </w:r>
      <w:r w:rsidR="00D47BDE" w:rsidRPr="008519A9">
        <w:rPr>
          <w:b/>
          <w:bCs/>
          <w:sz w:val="28"/>
          <w:szCs w:val="28"/>
          <w:highlight w:val="white"/>
        </w:rPr>
        <w:t xml:space="preserve">DE LA SECCIÓN CIVIL DEL TRIBUNAL DE INSTANCIA DE </w:t>
      </w:r>
      <w:r w:rsidR="00CC479A" w:rsidRPr="008519A9">
        <w:rPr>
          <w:b/>
          <w:bCs/>
          <w:color w:val="388600"/>
          <w:sz w:val="28"/>
          <w:szCs w:val="28"/>
          <w:highlight w:val="white"/>
        </w:rPr>
        <w:t>___________</w:t>
      </w:r>
    </w:p>
    <w:p w14:paraId="3D25F1FF" w14:textId="77777777" w:rsidR="00D3034D" w:rsidRPr="008519A9" w:rsidRDefault="00D739F2">
      <w:pPr>
        <w:spacing w:before="240" w:after="240"/>
        <w:rPr>
          <w:highlight w:val="white"/>
        </w:rPr>
      </w:pPr>
      <w:r w:rsidRPr="008519A9">
        <w:rPr>
          <w:highlight w:val="white"/>
        </w:rPr>
        <w:t xml:space="preserve"> </w:t>
      </w:r>
    </w:p>
    <w:p w14:paraId="73C189B1" w14:textId="1220759C" w:rsidR="00D3034D" w:rsidRPr="008519A9" w:rsidRDefault="00CC479A" w:rsidP="009203C3">
      <w:pPr>
        <w:spacing w:before="240" w:after="200"/>
        <w:ind w:firstLine="720"/>
        <w:jc w:val="both"/>
        <w:rPr>
          <w:b/>
          <w:bCs/>
          <w:highlight w:val="white"/>
        </w:rPr>
      </w:pPr>
      <w:r w:rsidRPr="008519A9">
        <w:rPr>
          <w:color w:val="388600"/>
          <w:highlight w:val="white"/>
        </w:rPr>
        <w:t>_________</w:t>
      </w:r>
      <w:r w:rsidR="00D47BDE" w:rsidRPr="008519A9">
        <w:rPr>
          <w:highlight w:val="white"/>
        </w:rPr>
        <w:t xml:space="preserve">, con </w:t>
      </w:r>
      <w:r w:rsidRPr="008519A9">
        <w:rPr>
          <w:highlight w:val="white"/>
        </w:rPr>
        <w:t>CIF</w:t>
      </w:r>
      <w:r w:rsidR="00D47BDE" w:rsidRPr="008519A9">
        <w:rPr>
          <w:highlight w:val="white"/>
        </w:rPr>
        <w:t xml:space="preserve"> núm. </w:t>
      </w:r>
      <w:r w:rsidRPr="008519A9">
        <w:rPr>
          <w:color w:val="388600"/>
          <w:highlight w:val="white"/>
        </w:rPr>
        <w:t>______</w:t>
      </w:r>
      <w:r w:rsidR="00D47BDE" w:rsidRPr="008519A9">
        <w:rPr>
          <w:highlight w:val="white"/>
        </w:rPr>
        <w:t xml:space="preserve">, en nombre propio, con domicilio a efectos de notificaciones en </w:t>
      </w:r>
      <w:r w:rsidRPr="008519A9">
        <w:rPr>
          <w:color w:val="388600"/>
          <w:highlight w:val="white"/>
        </w:rPr>
        <w:t>___________</w:t>
      </w:r>
      <w:r w:rsidR="00D47BDE" w:rsidRPr="008519A9">
        <w:rPr>
          <w:color w:val="388600"/>
          <w:highlight w:val="white"/>
        </w:rPr>
        <w:t xml:space="preserve">, </w:t>
      </w:r>
      <w:r w:rsidR="00D47BDE" w:rsidRPr="008519A9">
        <w:rPr>
          <w:highlight w:val="white"/>
        </w:rPr>
        <w:t xml:space="preserve">CP </w:t>
      </w:r>
      <w:r w:rsidRPr="008519A9">
        <w:rPr>
          <w:color w:val="388600"/>
          <w:highlight w:val="white"/>
        </w:rPr>
        <w:t>___________</w:t>
      </w:r>
      <w:r w:rsidR="00D47BDE" w:rsidRPr="008519A9">
        <w:rPr>
          <w:color w:val="388600"/>
          <w:highlight w:val="white"/>
        </w:rPr>
        <w:t xml:space="preserve"> </w:t>
      </w:r>
      <w:r w:rsidR="00D47BDE" w:rsidRPr="008519A9">
        <w:rPr>
          <w:highlight w:val="white"/>
        </w:rPr>
        <w:t xml:space="preserve">de </w:t>
      </w:r>
      <w:r w:rsidRPr="008519A9">
        <w:rPr>
          <w:color w:val="388600"/>
          <w:highlight w:val="white"/>
        </w:rPr>
        <w:t>__________</w:t>
      </w:r>
      <w:r w:rsidR="00D47BDE" w:rsidRPr="008519A9">
        <w:rPr>
          <w:color w:val="388600"/>
          <w:highlight w:val="white"/>
        </w:rPr>
        <w:t xml:space="preserve">, </w:t>
      </w:r>
      <w:r w:rsidR="00D47BDE" w:rsidRPr="008519A9">
        <w:rPr>
          <w:highlight w:val="white"/>
        </w:rPr>
        <w:t xml:space="preserve">ante el Juzgado comparezco y como mejor proceda en Derecho, </w:t>
      </w:r>
      <w:r w:rsidR="00671DA9" w:rsidRPr="008519A9">
        <w:rPr>
          <w:b/>
          <w:bCs/>
          <w:highlight w:val="white"/>
        </w:rPr>
        <w:t>DIGO</w:t>
      </w:r>
      <w:r w:rsidR="00D47BDE" w:rsidRPr="008519A9">
        <w:rPr>
          <w:b/>
          <w:bCs/>
          <w:highlight w:val="white"/>
        </w:rPr>
        <w:t xml:space="preserve">: </w:t>
      </w:r>
    </w:p>
    <w:p w14:paraId="008FF3F9" w14:textId="2906BAB2" w:rsidR="00A04562" w:rsidRPr="008519A9" w:rsidRDefault="00A04562" w:rsidP="009203C3">
      <w:pPr>
        <w:spacing w:before="240" w:after="200"/>
        <w:ind w:firstLine="720"/>
        <w:jc w:val="both"/>
        <w:rPr>
          <w:b/>
          <w:bCs/>
          <w:highlight w:val="white"/>
        </w:rPr>
      </w:pPr>
      <w:r w:rsidRPr="008519A9">
        <w:rPr>
          <w:highlight w:val="white"/>
        </w:rPr>
        <w:t>Que en fecha</w:t>
      </w:r>
      <w:r w:rsidRPr="008519A9">
        <w:t xml:space="preserve"> </w:t>
      </w:r>
      <w:r w:rsidR="00CC479A" w:rsidRPr="008519A9">
        <w:rPr>
          <w:color w:val="318100"/>
        </w:rPr>
        <w:t>_______</w:t>
      </w:r>
      <w:r w:rsidR="00CC479A" w:rsidRPr="008519A9">
        <w:t xml:space="preserve"> </w:t>
      </w:r>
      <w:r w:rsidRPr="008519A9">
        <w:rPr>
          <w:highlight w:val="white"/>
        </w:rPr>
        <w:t xml:space="preserve">he sido notificada de la Diligencia de Ordenación de fecha </w:t>
      </w:r>
      <w:r w:rsidR="00CC479A" w:rsidRPr="008519A9">
        <w:rPr>
          <w:color w:val="318100"/>
        </w:rPr>
        <w:t>________</w:t>
      </w:r>
      <w:r w:rsidRPr="008519A9">
        <w:rPr>
          <w:color w:val="318100"/>
        </w:rPr>
        <w:t xml:space="preserve"> </w:t>
      </w:r>
      <w:r w:rsidRPr="008519A9">
        <w:rPr>
          <w:highlight w:val="white"/>
        </w:rPr>
        <w:t xml:space="preserve">que </w:t>
      </w:r>
      <w:r w:rsidR="00EC64A2" w:rsidRPr="008519A9">
        <w:rPr>
          <w:b/>
          <w:bCs/>
          <w:highlight w:val="white"/>
        </w:rPr>
        <w:t xml:space="preserve">ordena el lanzamiento para el próximo </w:t>
      </w:r>
      <w:r w:rsidR="00CC479A" w:rsidRPr="008519A9">
        <w:rPr>
          <w:b/>
          <w:bCs/>
          <w:color w:val="388600"/>
          <w:highlight w:val="white"/>
        </w:rPr>
        <w:t>_______</w:t>
      </w:r>
      <w:r w:rsidR="008C3B1D" w:rsidRPr="008519A9">
        <w:rPr>
          <w:highlight w:val="white"/>
        </w:rPr>
        <w:t xml:space="preserve">, </w:t>
      </w:r>
      <w:r w:rsidR="00AB0472">
        <w:rPr>
          <w:highlight w:val="white"/>
        </w:rPr>
        <w:t xml:space="preserve">y atendiendo a mi situación de vulnerabilidad y el </w:t>
      </w:r>
      <w:r w:rsidR="0050502F">
        <w:rPr>
          <w:highlight w:val="white"/>
        </w:rPr>
        <w:t xml:space="preserve">artículo 2 </w:t>
      </w:r>
      <w:r w:rsidR="008145EE">
        <w:rPr>
          <w:highlight w:val="white"/>
        </w:rPr>
        <w:t xml:space="preserve">del </w:t>
      </w:r>
      <w:r w:rsidR="0038435A" w:rsidRPr="0038435A">
        <w:t>Real Decreto-ley 2</w:t>
      </w:r>
      <w:r w:rsidR="00F85CB8">
        <w:t>9</w:t>
      </w:r>
      <w:r w:rsidR="0038435A" w:rsidRPr="0038435A">
        <w:t xml:space="preserve">/2026, </w:t>
      </w:r>
      <w:r w:rsidR="00F85CB8">
        <w:t xml:space="preserve">de 6 de </w:t>
      </w:r>
      <w:r w:rsidR="002B79D1">
        <w:t>octubre</w:t>
      </w:r>
      <w:r w:rsidR="0038435A" w:rsidRPr="0038435A">
        <w:t>, por el que se adoptan medidas urgentes para la protección de la función social de la vivienda y la ampliación de la oferta de vivienda asequible</w:t>
      </w:r>
      <w:r w:rsidR="0038435A">
        <w:t>,</w:t>
      </w:r>
      <w:r w:rsidR="00AB0472">
        <w:rPr>
          <w:highlight w:val="white"/>
        </w:rPr>
        <w:t xml:space="preserve"> </w:t>
      </w:r>
      <w:r w:rsidR="008C3B1D" w:rsidRPr="008519A9">
        <w:rPr>
          <w:highlight w:val="white"/>
        </w:rPr>
        <w:t>realizo las siguientes</w:t>
      </w:r>
      <w:r w:rsidR="008C3B1D" w:rsidRPr="008519A9">
        <w:rPr>
          <w:b/>
          <w:bCs/>
          <w:highlight w:val="white"/>
        </w:rPr>
        <w:t xml:space="preserve"> MANIFESTACIONES: </w:t>
      </w:r>
    </w:p>
    <w:p w14:paraId="4B16D821" w14:textId="50561B52" w:rsidR="001B2837" w:rsidRPr="008519A9" w:rsidRDefault="005A1952" w:rsidP="009203C3">
      <w:pPr>
        <w:spacing w:before="240" w:after="200"/>
        <w:ind w:firstLine="720"/>
        <w:jc w:val="both"/>
        <w:rPr>
          <w:b/>
          <w:bCs/>
          <w:highlight w:val="white"/>
        </w:rPr>
      </w:pPr>
      <w:r w:rsidRPr="008519A9">
        <w:rPr>
          <w:b/>
          <w:bCs/>
          <w:highlight w:val="white"/>
        </w:rPr>
        <w:t>PRIMER</w:t>
      </w:r>
      <w:r w:rsidR="001B2837" w:rsidRPr="008519A9">
        <w:rPr>
          <w:b/>
          <w:bCs/>
          <w:highlight w:val="white"/>
        </w:rPr>
        <w:t>A</w:t>
      </w:r>
      <w:r w:rsidRPr="008519A9">
        <w:rPr>
          <w:b/>
          <w:bCs/>
          <w:highlight w:val="white"/>
        </w:rPr>
        <w:t>.</w:t>
      </w:r>
      <w:r w:rsidR="005A5016" w:rsidRPr="008519A9">
        <w:rPr>
          <w:highlight w:val="white"/>
        </w:rPr>
        <w:t xml:space="preserve"> </w:t>
      </w:r>
      <w:r w:rsidR="00AB0472">
        <w:rPr>
          <w:b/>
          <w:bCs/>
          <w:highlight w:val="white"/>
        </w:rPr>
        <w:t>MEDIDAS DE SUPENSIÓN DE DESAHUCIOS</w:t>
      </w:r>
      <w:r w:rsidR="0038435A">
        <w:rPr>
          <w:b/>
          <w:bCs/>
          <w:highlight w:val="white"/>
        </w:rPr>
        <w:t xml:space="preserve"> PREVISTAS EN EL </w:t>
      </w:r>
      <w:r w:rsidR="0038435A" w:rsidRPr="0038435A">
        <w:rPr>
          <w:b/>
          <w:bCs/>
        </w:rPr>
        <w:t>REAL DECRETO-LEY 2</w:t>
      </w:r>
      <w:r w:rsidR="00F85CB8">
        <w:rPr>
          <w:b/>
          <w:bCs/>
        </w:rPr>
        <w:t>9</w:t>
      </w:r>
      <w:r w:rsidR="0038435A" w:rsidRPr="0038435A">
        <w:rPr>
          <w:b/>
          <w:bCs/>
        </w:rPr>
        <w:t>/2026</w:t>
      </w:r>
      <w:r w:rsidR="00714853">
        <w:rPr>
          <w:b/>
          <w:bCs/>
        </w:rPr>
        <w:t xml:space="preserve"> Y LOS ARTÍTUCLOS 441.5 Y 704.1 DE LA LEC</w:t>
      </w:r>
    </w:p>
    <w:p w14:paraId="52C93CFE" w14:textId="6D94DE45" w:rsidR="00805BB4" w:rsidRDefault="005A5016" w:rsidP="009203C3">
      <w:pPr>
        <w:spacing w:before="240" w:after="200"/>
        <w:ind w:firstLine="720"/>
        <w:jc w:val="both"/>
      </w:pPr>
      <w:r w:rsidRPr="008519A9">
        <w:rPr>
          <w:highlight w:val="white"/>
        </w:rPr>
        <w:t>Que</w:t>
      </w:r>
      <w:r w:rsidR="00291602" w:rsidRPr="008519A9">
        <w:rPr>
          <w:highlight w:val="white"/>
        </w:rPr>
        <w:t xml:space="preserve"> </w:t>
      </w:r>
      <w:r w:rsidR="00805BB4">
        <w:rPr>
          <w:highlight w:val="white"/>
        </w:rPr>
        <w:t>el artículo 2.1</w:t>
      </w:r>
      <w:r w:rsidR="00070BF5">
        <w:rPr>
          <w:highlight w:val="white"/>
        </w:rPr>
        <w:t xml:space="preserve"> y 2.2</w:t>
      </w:r>
      <w:r w:rsidR="00805BB4">
        <w:rPr>
          <w:highlight w:val="white"/>
        </w:rPr>
        <w:t xml:space="preserve"> del </w:t>
      </w:r>
      <w:r w:rsidR="00805BB4" w:rsidRPr="00805BB4">
        <w:t>Real Decreto-ley 2</w:t>
      </w:r>
      <w:r w:rsidR="00F85CB8">
        <w:t>9/</w:t>
      </w:r>
      <w:r w:rsidR="00805BB4" w:rsidRPr="00805BB4">
        <w:t xml:space="preserve">2026, de </w:t>
      </w:r>
      <w:r w:rsidR="00F85CB8">
        <w:t>6 de octubre</w:t>
      </w:r>
      <w:r w:rsidR="00805BB4" w:rsidRPr="00805BB4">
        <w:t>, por el que se adoptan medidas urgentes para la protección de la función social de la vivienda y la ampliación de la oferta de vivienda asequible</w:t>
      </w:r>
      <w:r w:rsidR="00805BB4">
        <w:t xml:space="preserve"> </w:t>
      </w:r>
      <w:r w:rsidR="001C2F22">
        <w:t>(RDL 2</w:t>
      </w:r>
      <w:r w:rsidR="0072710E">
        <w:t>9</w:t>
      </w:r>
      <w:r w:rsidR="001C2F22">
        <w:t xml:space="preserve">/2026) </w:t>
      </w:r>
      <w:r w:rsidR="00805BB4">
        <w:t>establece</w:t>
      </w:r>
      <w:r w:rsidR="00070BF5">
        <w:t>n</w:t>
      </w:r>
      <w:r w:rsidR="00805BB4">
        <w:t xml:space="preserve"> que </w:t>
      </w:r>
      <w:r w:rsidR="00C562D8" w:rsidRPr="00782209">
        <w:rPr>
          <w:b/>
          <w:bCs/>
        </w:rPr>
        <w:t>desde la entrada en vigor de este real decreto-ley y hasta el 31 de diciembre de 2030</w:t>
      </w:r>
      <w:r w:rsidR="00070BF5">
        <w:t xml:space="preserve"> se </w:t>
      </w:r>
      <w:r w:rsidR="00070BF5" w:rsidRPr="00070BF5">
        <w:rPr>
          <w:b/>
          <w:bCs/>
        </w:rPr>
        <w:t>suspenderán los procedimientos de desahucios en q</w:t>
      </w:r>
      <w:r w:rsidR="00C562D8" w:rsidRPr="00782209">
        <w:rPr>
          <w:b/>
          <w:bCs/>
        </w:rPr>
        <w:t>ue la persona demandada se encuentre en situación de vulnerabilidad</w:t>
      </w:r>
      <w:r w:rsidR="00070BF5">
        <w:t xml:space="preserve"> </w:t>
      </w:r>
      <w:r w:rsidR="00C562D8" w:rsidRPr="00782209">
        <w:rPr>
          <w:b/>
          <w:bCs/>
        </w:rPr>
        <w:t>y no tenga alternativa habitacional</w:t>
      </w:r>
      <w:r w:rsidR="00782209">
        <w:t>.</w:t>
      </w:r>
    </w:p>
    <w:p w14:paraId="16995BE1" w14:textId="7DB9EC6F" w:rsidR="005270FD" w:rsidRDefault="005270FD" w:rsidP="009203C3">
      <w:pPr>
        <w:spacing w:before="240" w:after="200"/>
        <w:ind w:firstLine="720"/>
        <w:jc w:val="both"/>
      </w:pPr>
      <w:r>
        <w:t>Por su parte, el último párrafo del artículo 2.2 del RDL 2</w:t>
      </w:r>
      <w:r w:rsidR="0072710E">
        <w:t>9</w:t>
      </w:r>
      <w:r>
        <w:t xml:space="preserve">/2026 establece que no procederá la suspensión cuando deba prevalecer la situación de vulnerabilidad económico o habitacional de la parte </w:t>
      </w:r>
      <w:r w:rsidR="006F055F">
        <w:t>demandada</w:t>
      </w:r>
      <w:r>
        <w:t xml:space="preserve">, </w:t>
      </w:r>
      <w:r w:rsidR="006F055F">
        <w:t xml:space="preserve">o cuando la parte demandante sea una persona física titular de menos de tres viviendas. </w:t>
      </w:r>
    </w:p>
    <w:p w14:paraId="63E40B5C" w14:textId="635A4A6C" w:rsidR="00782209" w:rsidRDefault="004342B7" w:rsidP="009203C3">
      <w:pPr>
        <w:spacing w:before="240" w:after="200"/>
        <w:ind w:firstLine="360"/>
        <w:jc w:val="both"/>
      </w:pPr>
      <w:r>
        <w:t>En el presente caso</w:t>
      </w:r>
      <w:r w:rsidR="00FF5618">
        <w:t xml:space="preserve">, </w:t>
      </w:r>
      <w:r w:rsidR="00A626C0">
        <w:t>me encuentro en una situación de vulnerabilidad</w:t>
      </w:r>
      <w:r w:rsidR="00EC5458">
        <w:t xml:space="preserve"> y ésta</w:t>
      </w:r>
      <w:r w:rsidR="002D4B1D">
        <w:t xml:space="preserve"> ha sido reconocida a través del correspondiente informe de servicios sociales </w:t>
      </w:r>
      <w:r w:rsidR="002D4B1D" w:rsidRPr="002D4B1D">
        <w:rPr>
          <w:color w:val="00B050"/>
        </w:rPr>
        <w:t>(eliminar esta última frase si no ha dicho nada o el informe de servicios sociales no es adecuado)</w:t>
      </w:r>
      <w:r w:rsidR="002D4B1D">
        <w:t xml:space="preserve">, </w:t>
      </w:r>
      <w:r w:rsidR="00EC5458">
        <w:t>cumpliendo además</w:t>
      </w:r>
      <w:r w:rsidR="002D4B1D">
        <w:t xml:space="preserve"> con los criterios establecidos en el artículo 441.7 de la LEC, al tener ingresos inferiores a los </w:t>
      </w:r>
      <w:r w:rsidR="00A708D8">
        <w:t xml:space="preserve">establecidos, tal y como se demuestra de la siguiente documentación </w:t>
      </w:r>
      <w:r w:rsidR="00A708D8" w:rsidRPr="00A708D8">
        <w:rPr>
          <w:color w:val="00B050"/>
        </w:rPr>
        <w:t>(en caso de informe favorable de servicios sociales, no es necesario aportar la documentación y se puede eliminar la frase anterior)</w:t>
      </w:r>
      <w:r w:rsidR="00A708D8">
        <w:t xml:space="preserve">: </w:t>
      </w:r>
    </w:p>
    <w:p w14:paraId="36A344F2" w14:textId="0E2433A8" w:rsidR="00A708D8" w:rsidRDefault="00A708D8" w:rsidP="00A708D8">
      <w:pPr>
        <w:pStyle w:val="Pargrafdellista"/>
        <w:numPr>
          <w:ilvl w:val="0"/>
          <w:numId w:val="1"/>
        </w:numPr>
        <w:spacing w:before="240" w:after="200"/>
        <w:jc w:val="both"/>
      </w:pPr>
      <w:r>
        <w:lastRenderedPageBreak/>
        <w:t>Declaración de la renta</w:t>
      </w:r>
      <w:r w:rsidR="00AD231B">
        <w:t>;</w:t>
      </w:r>
    </w:p>
    <w:p w14:paraId="7974C98A" w14:textId="7DF643AF" w:rsidR="00AD231B" w:rsidRDefault="006741E2" w:rsidP="00A708D8">
      <w:pPr>
        <w:pStyle w:val="Pargrafdellista"/>
        <w:numPr>
          <w:ilvl w:val="0"/>
          <w:numId w:val="1"/>
        </w:numPr>
        <w:spacing w:before="240" w:after="200"/>
        <w:jc w:val="both"/>
      </w:pPr>
      <w:r>
        <w:t>Libro de familia;</w:t>
      </w:r>
    </w:p>
    <w:p w14:paraId="7B6D4E29" w14:textId="55330E46" w:rsidR="006741E2" w:rsidRDefault="006741E2" w:rsidP="00A708D8">
      <w:pPr>
        <w:pStyle w:val="Pargrafdellista"/>
        <w:numPr>
          <w:ilvl w:val="0"/>
          <w:numId w:val="1"/>
        </w:numPr>
        <w:spacing w:before="240" w:after="200"/>
        <w:jc w:val="both"/>
      </w:pPr>
      <w:r>
        <w:t>Declaraciones sobre la percepción de ayudas y/o subvenciones;</w:t>
      </w:r>
    </w:p>
    <w:p w14:paraId="7226FEE4" w14:textId="27398A32" w:rsidR="006741E2" w:rsidRDefault="006741E2" w:rsidP="00A708D8">
      <w:pPr>
        <w:pStyle w:val="Pargrafdellista"/>
        <w:numPr>
          <w:ilvl w:val="0"/>
          <w:numId w:val="1"/>
        </w:numPr>
        <w:spacing w:before="240" w:after="200"/>
        <w:jc w:val="both"/>
      </w:pPr>
      <w:r>
        <w:t>Nóminas;</w:t>
      </w:r>
    </w:p>
    <w:p w14:paraId="325CCEE1" w14:textId="569D8888" w:rsidR="006741E2" w:rsidRDefault="00C45512" w:rsidP="00A708D8">
      <w:pPr>
        <w:pStyle w:val="Pargrafdellista"/>
        <w:numPr>
          <w:ilvl w:val="0"/>
          <w:numId w:val="1"/>
        </w:numPr>
        <w:spacing w:before="240" w:after="200"/>
        <w:jc w:val="both"/>
      </w:pPr>
      <w:r>
        <w:t>Certificados sobre situaciones de dependencia y/o discapacidad.</w:t>
      </w:r>
    </w:p>
    <w:p w14:paraId="2DA066F0" w14:textId="5FBBC974" w:rsidR="00C45512" w:rsidRPr="002D4B1D" w:rsidRDefault="00EC5458" w:rsidP="009203C3">
      <w:pPr>
        <w:spacing w:before="240" w:after="200"/>
        <w:ind w:firstLine="360"/>
        <w:jc w:val="both"/>
      </w:pPr>
      <w:r>
        <w:t xml:space="preserve">Además, hasta la fecha carezco de alternativa residencial ante la gran dificultad de alquilar una vivienda en el mercado privado del alquiler </w:t>
      </w:r>
      <w:r w:rsidR="001B7BEB">
        <w:t xml:space="preserve">y no haber recibido ninguna alternativa </w:t>
      </w:r>
      <w:r w:rsidR="00C30578">
        <w:t xml:space="preserve">residencial adecuada por parte de la Administración Pública. </w:t>
      </w:r>
    </w:p>
    <w:p w14:paraId="73864D41" w14:textId="47DE8816" w:rsidR="00396F16" w:rsidRPr="00366A6A" w:rsidRDefault="00691E52" w:rsidP="009203C3">
      <w:pPr>
        <w:spacing w:before="240" w:after="200"/>
        <w:ind w:firstLine="360"/>
        <w:jc w:val="both"/>
        <w:rPr>
          <w:highlight w:val="white"/>
        </w:rPr>
      </w:pPr>
      <w:r>
        <w:t>Por todo lo anterior,</w:t>
      </w:r>
      <w:r w:rsidR="004342B7">
        <w:t xml:space="preserve"> y si bien </w:t>
      </w:r>
      <w:r w:rsidR="00714853">
        <w:t xml:space="preserve">las medidas para proteger a las familias vulnerables de los desahucios no se aplican </w:t>
      </w:r>
      <w:r w:rsidR="00B0196F">
        <w:t>a</w:t>
      </w:r>
      <w:r w:rsidR="00714853">
        <w:t xml:space="preserve">l presente caso </w:t>
      </w:r>
      <w:r w:rsidR="00B0196F">
        <w:t>atendiendo a</w:t>
      </w:r>
      <w:r w:rsidR="00714853">
        <w:t xml:space="preserve"> la naturaleza del propietario,</w:t>
      </w:r>
      <w:r>
        <w:t xml:space="preserve"> </w:t>
      </w:r>
      <w:r w:rsidR="002B4293" w:rsidRPr="00714853">
        <w:rPr>
          <w:b/>
          <w:bCs/>
          <w:u w:val="single"/>
        </w:rPr>
        <w:t>debe suspenderse el proceso</w:t>
      </w:r>
      <w:r w:rsidR="00E620CC" w:rsidRPr="00714853">
        <w:rPr>
          <w:b/>
          <w:bCs/>
          <w:u w:val="single"/>
        </w:rPr>
        <w:t xml:space="preserve"> de desahucio y el correspondiente lanzamiento</w:t>
      </w:r>
      <w:r w:rsidR="004342B7" w:rsidRPr="00714853">
        <w:rPr>
          <w:b/>
          <w:bCs/>
          <w:u w:val="single"/>
        </w:rPr>
        <w:t>, en virtud de los artíc</w:t>
      </w:r>
      <w:r w:rsidR="00714853" w:rsidRPr="00714853">
        <w:rPr>
          <w:b/>
          <w:bCs/>
          <w:u w:val="single"/>
        </w:rPr>
        <w:t>ulos 441.5 y 704.1 de la LEC</w:t>
      </w:r>
      <w:r w:rsidR="00714853">
        <w:t xml:space="preserve">. </w:t>
      </w:r>
    </w:p>
    <w:p w14:paraId="5553146E" w14:textId="0397700A" w:rsidR="00A95429" w:rsidRPr="00A95429" w:rsidRDefault="001C2F22" w:rsidP="009203C3">
      <w:pPr>
        <w:spacing w:before="240" w:after="200"/>
        <w:ind w:firstLine="360"/>
        <w:jc w:val="both"/>
        <w:rPr>
          <w:b/>
          <w:bCs/>
          <w:highlight w:val="white"/>
        </w:rPr>
      </w:pPr>
      <w:proofErr w:type="gramStart"/>
      <w:r w:rsidRPr="00A95429">
        <w:rPr>
          <w:b/>
          <w:bCs/>
          <w:highlight w:val="white"/>
        </w:rPr>
        <w:t>SEGUNDA.-</w:t>
      </w:r>
      <w:proofErr w:type="gramEnd"/>
      <w:r w:rsidR="00A95429" w:rsidRPr="00A95429">
        <w:rPr>
          <w:b/>
          <w:bCs/>
          <w:highlight w:val="white"/>
        </w:rPr>
        <w:t xml:space="preserve"> </w:t>
      </w:r>
      <w:r w:rsidR="00E620CC">
        <w:rPr>
          <w:b/>
          <w:bCs/>
          <w:highlight w:val="white"/>
        </w:rPr>
        <w:t xml:space="preserve">DEL DEBER </w:t>
      </w:r>
      <w:r>
        <w:rPr>
          <w:b/>
          <w:bCs/>
          <w:highlight w:val="white"/>
        </w:rPr>
        <w:t xml:space="preserve">DE </w:t>
      </w:r>
      <w:r w:rsidRPr="00A95429">
        <w:rPr>
          <w:b/>
          <w:bCs/>
          <w:highlight w:val="white"/>
        </w:rPr>
        <w:t>LA</w:t>
      </w:r>
      <w:r w:rsidR="00A95429" w:rsidRPr="00A95429">
        <w:rPr>
          <w:b/>
          <w:bCs/>
          <w:highlight w:val="white"/>
        </w:rPr>
        <w:t xml:space="preserve"> ADMINISTRACIÓN </w:t>
      </w:r>
      <w:r>
        <w:rPr>
          <w:b/>
          <w:bCs/>
          <w:highlight w:val="white"/>
        </w:rPr>
        <w:t>PÚBLICA COMPETENTE DE OFRECER UNA ALTERNATIVA HABITACIONAL ADECUADA</w:t>
      </w:r>
      <w:r w:rsidR="00A95429" w:rsidRPr="00A95429">
        <w:rPr>
          <w:b/>
          <w:bCs/>
          <w:highlight w:val="white"/>
        </w:rPr>
        <w:t xml:space="preserve"> </w:t>
      </w:r>
    </w:p>
    <w:p w14:paraId="3890CFCC" w14:textId="66C30556" w:rsidR="001C2F22" w:rsidRPr="001C2F22" w:rsidRDefault="00A95429" w:rsidP="009203C3">
      <w:pPr>
        <w:spacing w:before="240" w:after="200"/>
        <w:ind w:firstLine="360"/>
        <w:jc w:val="both"/>
        <w:rPr>
          <w:highlight w:val="white"/>
        </w:rPr>
      </w:pPr>
      <w:r w:rsidRPr="001C2F22">
        <w:rPr>
          <w:highlight w:val="white"/>
        </w:rPr>
        <w:t>Que</w:t>
      </w:r>
      <w:r w:rsidR="002E066B" w:rsidRPr="001C2F22">
        <w:rPr>
          <w:highlight w:val="white"/>
        </w:rPr>
        <w:t xml:space="preserve"> </w:t>
      </w:r>
      <w:r w:rsidR="001C2F22">
        <w:rPr>
          <w:highlight w:val="white"/>
        </w:rPr>
        <w:t>el artículo 2.2 del RDL 2</w:t>
      </w:r>
      <w:r w:rsidR="0072710E">
        <w:rPr>
          <w:highlight w:val="white"/>
        </w:rPr>
        <w:t>9</w:t>
      </w:r>
      <w:r w:rsidR="001C2F22">
        <w:rPr>
          <w:highlight w:val="white"/>
        </w:rPr>
        <w:t xml:space="preserve">/2026 establece </w:t>
      </w:r>
      <w:r w:rsidR="00085BF1">
        <w:rPr>
          <w:highlight w:val="white"/>
        </w:rPr>
        <w:t>que el Tribunal requerirá</w:t>
      </w:r>
      <w:r w:rsidR="00F77AA2" w:rsidRPr="00F77AA2">
        <w:rPr>
          <w:highlight w:val="white"/>
        </w:rPr>
        <w:t xml:space="preserve">, por el cauce designado por la comunidad autónoma correspondiente, informe de la administración que resulte competente conforme a la legislación autonómica en materia de vivienda y servicios sociales, para que informe expresamente acerca de los recursos que tienen disponibles y los ofrezcan. En caso de que no se reciba respuesta o se informe de que no se cuenta con ellos, </w:t>
      </w:r>
      <w:r w:rsidR="00F77AA2" w:rsidRPr="00F77AA2">
        <w:rPr>
          <w:b/>
          <w:bCs/>
          <w:highlight w:val="white"/>
          <w:u w:val="single"/>
        </w:rPr>
        <w:t>el tribunal suspenderá el proceso hasta que tales medidas sean adoptadas y se garantice una alternativa habitacional adecuada</w:t>
      </w:r>
      <w:r w:rsidR="00F77AA2" w:rsidRPr="00F77AA2">
        <w:rPr>
          <w:highlight w:val="white"/>
        </w:rPr>
        <w:t>, resultando igualmente aplicable esta previsión cuando ya se hubiera dictado sentencia, decreto o auto poniendo fin al procedimiento o acordando el lanzamiento, siempre que este último no se hubiera ejecutado efectivamente.</w:t>
      </w:r>
    </w:p>
    <w:p w14:paraId="2BDDCA4D" w14:textId="22600225" w:rsidR="001C2F22" w:rsidRPr="00F77AA2" w:rsidRDefault="00F77AA2" w:rsidP="009203C3">
      <w:pPr>
        <w:spacing w:before="240" w:after="200"/>
        <w:ind w:firstLine="360"/>
        <w:jc w:val="both"/>
        <w:rPr>
          <w:highlight w:val="white"/>
        </w:rPr>
      </w:pPr>
      <w:r w:rsidRPr="00F77AA2">
        <w:rPr>
          <w:highlight w:val="white"/>
        </w:rPr>
        <w:t>La suspensión acordada será revisada por el tribunal cada doce meses, a los efectos de determinar si la situación de vulnerabilidad y falta de alternativa habitacional que la motivó subsiste. La suspensión se alzará cuando desaparezca la vulnerabilidad, se ponga a disposición una alternativa habitacional adecuada y efectiva o la parte demandada la rechace sin causa justificada, previa audiencia de las partes, o transcurran tres años desde que se acordó la suspensión.</w:t>
      </w:r>
    </w:p>
    <w:p w14:paraId="74256F15" w14:textId="2EF63760" w:rsidR="001C2F22" w:rsidRDefault="00EE1F80" w:rsidP="009203C3">
      <w:pPr>
        <w:spacing w:before="240" w:after="200"/>
        <w:ind w:firstLine="360"/>
        <w:jc w:val="both"/>
        <w:rPr>
          <w:highlight w:val="white"/>
        </w:rPr>
      </w:pPr>
      <w:r w:rsidRPr="00742D38">
        <w:rPr>
          <w:highlight w:val="white"/>
        </w:rPr>
        <w:t xml:space="preserve">Esta previsión debe entenderse igualmente aplicable a los supuestos de los desahucios referidos en el </w:t>
      </w:r>
      <w:r w:rsidR="00B96A17">
        <w:rPr>
          <w:highlight w:val="white"/>
        </w:rPr>
        <w:t>último párrafo del artículo 2.2</w:t>
      </w:r>
      <w:r w:rsidRPr="00742D38">
        <w:rPr>
          <w:highlight w:val="white"/>
        </w:rPr>
        <w:t xml:space="preserve"> del RDL 2</w:t>
      </w:r>
      <w:r w:rsidR="0072710E">
        <w:rPr>
          <w:highlight w:val="white"/>
        </w:rPr>
        <w:t>9</w:t>
      </w:r>
      <w:r w:rsidRPr="00742D38">
        <w:rPr>
          <w:highlight w:val="white"/>
        </w:rPr>
        <w:t xml:space="preserve">/2026, atendiendo a su interpretación teleológica y a que </w:t>
      </w:r>
      <w:r w:rsidR="00C06F58" w:rsidRPr="00742D38">
        <w:rPr>
          <w:highlight w:val="white"/>
        </w:rPr>
        <w:t xml:space="preserve">el propio artículo 441.5 de la LEC establece </w:t>
      </w:r>
      <w:r w:rsidR="00C06F58" w:rsidRPr="00FB4BF6">
        <w:rPr>
          <w:highlight w:val="white"/>
        </w:rPr>
        <w:t>que</w:t>
      </w:r>
      <w:r w:rsidR="00C06F58" w:rsidRPr="00FB4BF6">
        <w:rPr>
          <w:b/>
          <w:bCs/>
          <w:highlight w:val="white"/>
        </w:rPr>
        <w:t xml:space="preserve"> la </w:t>
      </w:r>
      <w:r w:rsidR="009D49D8" w:rsidRPr="00FB4BF6">
        <w:rPr>
          <w:b/>
          <w:bCs/>
          <w:highlight w:val="white"/>
        </w:rPr>
        <w:t xml:space="preserve">Administración competente deberá </w:t>
      </w:r>
      <w:r w:rsidR="00FB4BF6" w:rsidRPr="00FB4BF6">
        <w:rPr>
          <w:b/>
          <w:bCs/>
          <w:highlight w:val="white"/>
        </w:rPr>
        <w:t>realizar una propuesta de alternativa de vivienda digna en alquiler social a proporcionar por la Administración competente</w:t>
      </w:r>
      <w:r w:rsidR="00FB4BF6" w:rsidRPr="00FB4BF6">
        <w:rPr>
          <w:b/>
          <w:bCs/>
          <w:highlight w:val="white"/>
          <w:u w:val="single"/>
        </w:rPr>
        <w:t xml:space="preserve"> </w:t>
      </w:r>
      <w:r w:rsidR="00FB4BF6" w:rsidRPr="00FB4BF6">
        <w:rPr>
          <w:highlight w:val="white"/>
          <w:u w:val="single"/>
        </w:rPr>
        <w:t>para ello y propuesta de medidas de atención inmediata a adoptar igualmente por la Administración competente, así como de las posibles ayudas económicas y subvenciones de las que pueda ser beneficiaria la parte demandada</w:t>
      </w:r>
      <w:r w:rsidR="00FB4BF6" w:rsidRPr="00FB4BF6">
        <w:rPr>
          <w:highlight w:val="white"/>
        </w:rPr>
        <w:t>.</w:t>
      </w:r>
    </w:p>
    <w:p w14:paraId="5CAB197E" w14:textId="584BC1C3" w:rsidR="00B96A17" w:rsidRDefault="00B96A17" w:rsidP="009203C3">
      <w:pPr>
        <w:spacing w:before="240" w:after="200"/>
        <w:ind w:firstLine="360"/>
        <w:jc w:val="both"/>
        <w:rPr>
          <w:highlight w:val="white"/>
        </w:rPr>
      </w:pPr>
      <w:r>
        <w:rPr>
          <w:highlight w:val="white"/>
        </w:rPr>
        <w:lastRenderedPageBreak/>
        <w:t xml:space="preserve">De hecho, </w:t>
      </w:r>
      <w:r w:rsidR="00D1534A" w:rsidRPr="009710D7">
        <w:rPr>
          <w:b/>
          <w:bCs/>
          <w:highlight w:val="white"/>
        </w:rPr>
        <w:t>la Administración Pública está obligada a priorizar este tipo de supuestos en los cuáles no se contempla expresamente la suspensión hasta que se adopten las medidas residenciales correspondientes</w:t>
      </w:r>
      <w:r w:rsidR="00D1534A">
        <w:rPr>
          <w:highlight w:val="white"/>
        </w:rPr>
        <w:t xml:space="preserve">, para no imponer la carga de la desprotección de la parte demandada en la parte demandante. </w:t>
      </w:r>
    </w:p>
    <w:p w14:paraId="786EF3BE" w14:textId="5DF7F208" w:rsidR="00DF171D" w:rsidRPr="00742D38" w:rsidRDefault="00DF171D" w:rsidP="009203C3">
      <w:pPr>
        <w:spacing w:before="240" w:after="200"/>
        <w:ind w:firstLine="360"/>
        <w:jc w:val="both"/>
        <w:rPr>
          <w:highlight w:val="white"/>
        </w:rPr>
      </w:pPr>
      <w:r>
        <w:rPr>
          <w:highlight w:val="white"/>
        </w:rPr>
        <w:t xml:space="preserve">Por todo ello, </w:t>
      </w:r>
      <w:r w:rsidRPr="009710D7">
        <w:rPr>
          <w:b/>
          <w:bCs/>
          <w:highlight w:val="white"/>
          <w:u w:val="single"/>
        </w:rPr>
        <w:t xml:space="preserve">se solicita a este Tribunal que suspende el presente procedimiento de desahucio y requiera a la Administración Pública competente para que </w:t>
      </w:r>
      <w:r w:rsidR="009710D7" w:rsidRPr="009710D7">
        <w:rPr>
          <w:b/>
          <w:bCs/>
          <w:highlight w:val="white"/>
          <w:u w:val="single"/>
        </w:rPr>
        <w:t>ofrezca de forma urgente y prioritaria una alternativa residencial adecuada</w:t>
      </w:r>
      <w:r w:rsidR="009710D7">
        <w:rPr>
          <w:highlight w:val="white"/>
        </w:rPr>
        <w:t xml:space="preserve">. </w:t>
      </w:r>
    </w:p>
    <w:p w14:paraId="10C71F54" w14:textId="17DA296C" w:rsidR="00EE1F80" w:rsidRPr="00742D38" w:rsidRDefault="00742D38" w:rsidP="009203C3">
      <w:pPr>
        <w:spacing w:before="240" w:after="200"/>
        <w:ind w:firstLine="360"/>
        <w:jc w:val="both"/>
        <w:rPr>
          <w:b/>
          <w:bCs/>
          <w:highlight w:val="white"/>
        </w:rPr>
      </w:pPr>
      <w:proofErr w:type="gramStart"/>
      <w:r w:rsidRPr="00742D38">
        <w:rPr>
          <w:b/>
          <w:bCs/>
          <w:highlight w:val="white"/>
        </w:rPr>
        <w:t>TERCERO.-</w:t>
      </w:r>
      <w:proofErr w:type="gramEnd"/>
      <w:r w:rsidRPr="00742D38">
        <w:rPr>
          <w:b/>
          <w:bCs/>
          <w:highlight w:val="white"/>
        </w:rPr>
        <w:t xml:space="preserve"> DEL CONTROL DE ADECUACIÓN DE LA ALTERNATIVA RESIDENCIAL</w:t>
      </w:r>
    </w:p>
    <w:p w14:paraId="231C5D09" w14:textId="4CC98ADA" w:rsidR="00D26393" w:rsidRDefault="009203C3" w:rsidP="00D72BF3">
      <w:pPr>
        <w:spacing w:before="240" w:after="200"/>
        <w:jc w:val="both"/>
      </w:pPr>
      <w:r>
        <w:tab/>
        <w:t xml:space="preserve">Que </w:t>
      </w:r>
      <w:r w:rsidR="005178D5">
        <w:t>ante la falta de definición en la normativa nacional de lo que se considera una alternativa residencial adecuada en casos de desahucios, es importante acudir a lo establecido por parte de los organismos internacionales</w:t>
      </w:r>
      <w:r w:rsidR="0083264F">
        <w:t xml:space="preserve">, tal y como establece el artículo 1 y 2.a) de la </w:t>
      </w:r>
      <w:r w:rsidR="008E3DC2" w:rsidRPr="008E3DC2">
        <w:t>Ley 12/2023, de 24 de mayo, por el derecho a la vivienda</w:t>
      </w:r>
      <w:r w:rsidR="008E3DC2">
        <w:t>, que establecen la obligación de</w:t>
      </w:r>
      <w:r w:rsidR="00006E65">
        <w:t xml:space="preserve"> dar cumplimiento a lo dispuesto en los instrumentos internacionales ratificados por Espala y de acuerdo con “las recomendaciones de los instrumentos internacionales ratificados por España</w:t>
      </w:r>
      <w:r w:rsidR="00D26393">
        <w:t>”. Por ello, para entender que se trata de una alternativa residencial adecuada será fundamental tener en cuenta</w:t>
      </w:r>
      <w:r w:rsidR="00D72BF3">
        <w:t xml:space="preserve"> que: </w:t>
      </w:r>
    </w:p>
    <w:p w14:paraId="4A4C1539" w14:textId="0FDDD1CC" w:rsidR="00D72BF3" w:rsidRDefault="00D72BF3" w:rsidP="00D72BF3">
      <w:pPr>
        <w:pStyle w:val="Pargrafdellista"/>
        <w:numPr>
          <w:ilvl w:val="0"/>
          <w:numId w:val="1"/>
        </w:numPr>
        <w:spacing w:before="240" w:after="200"/>
        <w:jc w:val="both"/>
      </w:pPr>
      <w:r w:rsidRPr="00B36801">
        <w:rPr>
          <w:b/>
          <w:bCs/>
        </w:rPr>
        <w:t>La alternativa residencial no puede conllevar la separación de la unidad de convivencia o de la familia</w:t>
      </w:r>
      <w:r>
        <w:t>, tal y como ha recogido el Comité de Derechos Económicos, Sociales y Culturales (Comité DESC), encargado de supervisar el</w:t>
      </w:r>
      <w:r w:rsidR="003F32AF">
        <w:t xml:space="preserve"> cumplimiento del</w:t>
      </w:r>
      <w:r>
        <w:t xml:space="preserve"> </w:t>
      </w:r>
      <w:r w:rsidR="00C332E8">
        <w:t>del Pacto Internacional sobre Derechos Económicos, Sociales y Culturales</w:t>
      </w:r>
      <w:r w:rsidR="003F32AF">
        <w:t xml:space="preserve">, y las reclamaciones de vulneraciones de derechos presentadas desde España en virtud </w:t>
      </w:r>
      <w:r w:rsidR="00C332E8">
        <w:t xml:space="preserve">del </w:t>
      </w:r>
      <w:r w:rsidR="003F32AF" w:rsidRPr="003F32AF">
        <w:t>Protocolo Facultativo del Pacto Internacional de Derechos Económicos, Sociales y Culturales</w:t>
      </w:r>
      <w:r w:rsidR="003F32AF">
        <w:t xml:space="preserve">. </w:t>
      </w:r>
      <w:r w:rsidR="00B36801">
        <w:t xml:space="preserve">Así lo estableció el Comité DESC en los </w:t>
      </w:r>
      <w:r w:rsidR="00F9749A">
        <w:t>d</w:t>
      </w:r>
      <w:r w:rsidR="00B36801">
        <w:t xml:space="preserve">ictámenes de </w:t>
      </w:r>
      <w:r w:rsidR="00B36801" w:rsidRPr="00B36801">
        <w:rPr>
          <w:i/>
          <w:iCs/>
        </w:rPr>
        <w:t>Maribel Viviana López Albán c. España</w:t>
      </w:r>
      <w:r w:rsidR="00B36801" w:rsidRPr="00B36801">
        <w:t xml:space="preserve">; </w:t>
      </w:r>
      <w:r w:rsidR="00B36801" w:rsidRPr="00B36801">
        <w:rPr>
          <w:i/>
          <w:iCs/>
        </w:rPr>
        <w:t>Mohamed Ben Djazia, Naouel Bellili c. España</w:t>
      </w:r>
      <w:r w:rsidR="00B36801">
        <w:rPr>
          <w:rStyle w:val="Refernciadenotaapeudepgina"/>
          <w:i/>
          <w:iCs/>
        </w:rPr>
        <w:footnoteReference w:id="1"/>
      </w:r>
      <w:r w:rsidR="00B36801" w:rsidRPr="00B36801">
        <w:t>.</w:t>
      </w:r>
    </w:p>
    <w:p w14:paraId="366B2192" w14:textId="160843D5" w:rsidR="00F9749A" w:rsidRDefault="00A7618A" w:rsidP="00F9749A">
      <w:pPr>
        <w:pStyle w:val="Pargrafdellista"/>
        <w:numPr>
          <w:ilvl w:val="0"/>
          <w:numId w:val="1"/>
        </w:numPr>
        <w:spacing w:before="240" w:after="200"/>
        <w:jc w:val="both"/>
      </w:pPr>
      <w:r w:rsidRPr="000F66B3">
        <w:rPr>
          <w:b/>
          <w:bCs/>
        </w:rPr>
        <w:t>Los alojamientos temporales</w:t>
      </w:r>
      <w:r>
        <w:t xml:space="preserve"> </w:t>
      </w:r>
      <w:r w:rsidR="000953CA">
        <w:t xml:space="preserve">de emergencia, mientras se garantiza una vivienda alternativa adecuada, </w:t>
      </w:r>
      <w:r w:rsidR="000953CA" w:rsidRPr="000F66B3">
        <w:rPr>
          <w:b/>
          <w:bCs/>
        </w:rPr>
        <w:t xml:space="preserve">debe ser compatibles con la protección de la dignidad humana de las personas desalojadas, que cumplan todos los requisitos de seguridad y nunca pueden ser </w:t>
      </w:r>
      <w:r w:rsidR="009A2AA0" w:rsidRPr="000F66B3">
        <w:rPr>
          <w:b/>
          <w:bCs/>
        </w:rPr>
        <w:t>una solución permanente, sino un paso previo a una vivienda adecuada</w:t>
      </w:r>
      <w:r w:rsidR="009A2AA0">
        <w:t>.</w:t>
      </w:r>
      <w:r w:rsidR="00F9749A">
        <w:t xml:space="preserve"> En este sentido se pronunció el Comité DESC en el dictamen de </w:t>
      </w:r>
      <w:r w:rsidR="00F9749A" w:rsidRPr="00F9749A">
        <w:rPr>
          <w:i/>
          <w:iCs/>
        </w:rPr>
        <w:t xml:space="preserve">Hakima El </w:t>
      </w:r>
      <w:proofErr w:type="spellStart"/>
      <w:r w:rsidR="00F9749A" w:rsidRPr="00F9749A">
        <w:rPr>
          <w:i/>
          <w:iCs/>
        </w:rPr>
        <w:t>Goumari</w:t>
      </w:r>
      <w:proofErr w:type="spellEnd"/>
      <w:r w:rsidR="00F9749A" w:rsidRPr="00F9749A">
        <w:rPr>
          <w:i/>
          <w:iCs/>
        </w:rPr>
        <w:t xml:space="preserve"> y Ahmed Tidli c. España</w:t>
      </w:r>
      <w:r w:rsidR="00F9749A">
        <w:rPr>
          <w:rStyle w:val="Refernciadenotaapeudepgina"/>
          <w:i/>
          <w:iCs/>
        </w:rPr>
        <w:footnoteReference w:id="2"/>
      </w:r>
      <w:r w:rsidR="00F9749A">
        <w:t xml:space="preserve">. </w:t>
      </w:r>
    </w:p>
    <w:p w14:paraId="46F39D21" w14:textId="77777777" w:rsidR="00F9749A" w:rsidRDefault="00F9749A" w:rsidP="000F66B3">
      <w:pPr>
        <w:pStyle w:val="Pargrafdellista"/>
        <w:spacing w:before="240" w:after="200"/>
        <w:jc w:val="both"/>
      </w:pPr>
    </w:p>
    <w:p w14:paraId="148A1A9F" w14:textId="0F72D3FD" w:rsidR="000F66B3" w:rsidRDefault="000F66B3" w:rsidP="00785F09">
      <w:pPr>
        <w:spacing w:before="240" w:after="200"/>
        <w:ind w:firstLine="360"/>
        <w:jc w:val="both"/>
      </w:pPr>
      <w:r>
        <w:t>Por ello, y atendiendo a la función tuitiva de los tribunales en la protección de los más vulnerables</w:t>
      </w:r>
      <w:r w:rsidR="00B42CC2">
        <w:t xml:space="preserve"> (STC 113/2021, de 31 de mayo</w:t>
      </w:r>
      <w:r w:rsidR="00915BDF">
        <w:t xml:space="preserve">; </w:t>
      </w:r>
      <w:r w:rsidR="00915BDF" w:rsidRPr="00915BDF">
        <w:t>191/2021, de 12 de febrero de 2021</w:t>
      </w:r>
      <w:r w:rsidR="00B42CC2">
        <w:t xml:space="preserve">), este Tribunal deberá realizar un </w:t>
      </w:r>
      <w:r w:rsidR="00B42CC2" w:rsidRPr="00915BDF">
        <w:rPr>
          <w:b/>
          <w:bCs/>
        </w:rPr>
        <w:t xml:space="preserve">control </w:t>
      </w:r>
      <w:r w:rsidR="00B42CC2" w:rsidRPr="00915BDF">
        <w:rPr>
          <w:b/>
          <w:bCs/>
          <w:i/>
          <w:iCs/>
        </w:rPr>
        <w:t>ex ante</w:t>
      </w:r>
      <w:r w:rsidR="00B42CC2" w:rsidRPr="00915BDF">
        <w:rPr>
          <w:b/>
          <w:bCs/>
        </w:rPr>
        <w:t xml:space="preserve"> sobre la adecuación de la </w:t>
      </w:r>
      <w:r w:rsidR="00915BDF">
        <w:rPr>
          <w:b/>
          <w:bCs/>
        </w:rPr>
        <w:t>alternativa residencial</w:t>
      </w:r>
      <w:r w:rsidR="00B42CC2">
        <w:t xml:space="preserve">, </w:t>
      </w:r>
      <w:r w:rsidR="00B42CC2" w:rsidRPr="00915BDF">
        <w:rPr>
          <w:u w:val="single"/>
        </w:rPr>
        <w:t xml:space="preserve">así como un control </w:t>
      </w:r>
      <w:r w:rsidR="00B42CC2" w:rsidRPr="00915BDF">
        <w:rPr>
          <w:i/>
          <w:iCs/>
          <w:u w:val="single"/>
        </w:rPr>
        <w:t>ex post</w:t>
      </w:r>
      <w:r w:rsidR="00B42CC2" w:rsidRPr="00915BDF">
        <w:rPr>
          <w:u w:val="single"/>
        </w:rPr>
        <w:t xml:space="preserve"> sobre la temporalidad de la </w:t>
      </w:r>
      <w:r w:rsidR="00915BDF" w:rsidRPr="00915BDF">
        <w:rPr>
          <w:u w:val="single"/>
        </w:rPr>
        <w:t xml:space="preserve">medida y las condiciones </w:t>
      </w:r>
      <w:r w:rsidR="00915BDF" w:rsidRPr="00915BDF">
        <w:rPr>
          <w:u w:val="single"/>
        </w:rPr>
        <w:lastRenderedPageBreak/>
        <w:t xml:space="preserve">de </w:t>
      </w:r>
      <w:proofErr w:type="gramStart"/>
      <w:r w:rsidR="00915BDF" w:rsidRPr="00915BDF">
        <w:rPr>
          <w:u w:val="single"/>
        </w:rPr>
        <w:t>las mismas</w:t>
      </w:r>
      <w:proofErr w:type="gramEnd"/>
      <w:r w:rsidR="00915BDF" w:rsidRPr="00915BDF">
        <w:rPr>
          <w:u w:val="single"/>
        </w:rPr>
        <w:t xml:space="preserve"> si la Administración Pública competente tan solo es capaz de ofrecer un alojamiento temporal de emergencia</w:t>
      </w:r>
      <w:r w:rsidR="00915BDF">
        <w:t xml:space="preserve">. </w:t>
      </w:r>
      <w:r>
        <w:t xml:space="preserve"> </w:t>
      </w:r>
    </w:p>
    <w:p w14:paraId="5E4F3ED4" w14:textId="77777777" w:rsidR="00D3034D" w:rsidRPr="008519A9" w:rsidRDefault="00D739F2">
      <w:pPr>
        <w:spacing w:before="240" w:after="240"/>
        <w:jc w:val="both"/>
        <w:rPr>
          <w:highlight w:val="white"/>
        </w:rPr>
      </w:pPr>
      <w:r w:rsidRPr="008519A9">
        <w:rPr>
          <w:highlight w:val="white"/>
        </w:rPr>
        <w:t>Por lo que se acaba de exponer,</w:t>
      </w:r>
    </w:p>
    <w:p w14:paraId="68C11EFF" w14:textId="0C0CFB8B" w:rsidR="00D3034D" w:rsidRPr="008519A9" w:rsidRDefault="00D739F2" w:rsidP="005B71BD">
      <w:pPr>
        <w:spacing w:before="240" w:after="200"/>
        <w:jc w:val="both"/>
        <w:rPr>
          <w:highlight w:val="white"/>
        </w:rPr>
      </w:pPr>
      <w:r w:rsidRPr="008519A9">
        <w:rPr>
          <w:b/>
          <w:bCs/>
          <w:highlight w:val="white"/>
        </w:rPr>
        <w:t xml:space="preserve">AL JUZGADO SOLICITO </w:t>
      </w:r>
      <w:r w:rsidRPr="008519A9">
        <w:rPr>
          <w:highlight w:val="white"/>
        </w:rPr>
        <w:t xml:space="preserve">tenga por presentado este escrito y </w:t>
      </w:r>
      <w:r w:rsidR="005B71BD">
        <w:rPr>
          <w:highlight w:val="white"/>
        </w:rPr>
        <w:t>los</w:t>
      </w:r>
      <w:r w:rsidR="005211A5" w:rsidRPr="008519A9">
        <w:rPr>
          <w:highlight w:val="white"/>
        </w:rPr>
        <w:t xml:space="preserve"> documento</w:t>
      </w:r>
      <w:r w:rsidR="005B71BD">
        <w:rPr>
          <w:highlight w:val="white"/>
        </w:rPr>
        <w:t>s</w:t>
      </w:r>
      <w:r w:rsidR="005211A5" w:rsidRPr="008519A9">
        <w:rPr>
          <w:highlight w:val="white"/>
        </w:rPr>
        <w:t xml:space="preserve"> que lo </w:t>
      </w:r>
      <w:r w:rsidR="006547C9" w:rsidRPr="008519A9">
        <w:rPr>
          <w:highlight w:val="white"/>
        </w:rPr>
        <w:t>acompaña</w:t>
      </w:r>
      <w:r w:rsidR="005B71BD">
        <w:rPr>
          <w:highlight w:val="white"/>
        </w:rPr>
        <w:t>n</w:t>
      </w:r>
      <w:r w:rsidRPr="008519A9">
        <w:rPr>
          <w:highlight w:val="white"/>
        </w:rPr>
        <w:t xml:space="preserve">, lo admita </w:t>
      </w:r>
      <w:r w:rsidR="00915BDF" w:rsidRPr="00915BDF">
        <w:rPr>
          <w:b/>
          <w:bCs/>
          <w:highlight w:val="white"/>
          <w:u w:val="single"/>
        </w:rPr>
        <w:t>a</w:t>
      </w:r>
      <w:r w:rsidRPr="00915BDF">
        <w:rPr>
          <w:b/>
          <w:bCs/>
          <w:highlight w:val="white"/>
          <w:u w:val="single"/>
        </w:rPr>
        <w:t>cuerde la suspensión inmediata del</w:t>
      </w:r>
      <w:r w:rsidRPr="008519A9">
        <w:rPr>
          <w:highlight w:val="white"/>
          <w:u w:val="single"/>
        </w:rPr>
        <w:t xml:space="preserve"> </w:t>
      </w:r>
      <w:r w:rsidRPr="00915BDF">
        <w:rPr>
          <w:b/>
          <w:bCs/>
          <w:highlight w:val="white"/>
          <w:u w:val="single"/>
        </w:rPr>
        <w:t>procedimiento</w:t>
      </w:r>
      <w:r w:rsidRPr="008519A9">
        <w:rPr>
          <w:highlight w:val="white"/>
        </w:rPr>
        <w:t xml:space="preserve"> </w:t>
      </w:r>
      <w:r w:rsidRPr="00360053">
        <w:rPr>
          <w:b/>
          <w:bCs/>
          <w:highlight w:val="white"/>
          <w:u w:val="single"/>
        </w:rPr>
        <w:t xml:space="preserve">en curso </w:t>
      </w:r>
      <w:r w:rsidR="00360053" w:rsidRPr="009710D7">
        <w:rPr>
          <w:b/>
          <w:bCs/>
          <w:highlight w:val="white"/>
          <w:u w:val="single"/>
        </w:rPr>
        <w:t xml:space="preserve">hasta </w:t>
      </w:r>
      <w:r w:rsidRPr="009710D7">
        <w:rPr>
          <w:b/>
          <w:bCs/>
          <w:highlight w:val="white"/>
          <w:u w:val="single"/>
        </w:rPr>
        <w:t xml:space="preserve">que </w:t>
      </w:r>
      <w:r w:rsidR="005211A5" w:rsidRPr="009710D7">
        <w:rPr>
          <w:b/>
          <w:bCs/>
          <w:highlight w:val="white"/>
          <w:u w:val="single"/>
        </w:rPr>
        <w:t xml:space="preserve">desde </w:t>
      </w:r>
      <w:r w:rsidR="005B71BD" w:rsidRPr="009710D7">
        <w:rPr>
          <w:b/>
          <w:bCs/>
          <w:highlight w:val="white"/>
          <w:u w:val="single"/>
        </w:rPr>
        <w:t xml:space="preserve">las </w:t>
      </w:r>
      <w:r w:rsidR="00E85828" w:rsidRPr="009710D7">
        <w:rPr>
          <w:b/>
          <w:bCs/>
          <w:highlight w:val="white"/>
          <w:u w:val="single"/>
        </w:rPr>
        <w:t>Administraciones</w:t>
      </w:r>
      <w:r w:rsidR="005B71BD" w:rsidRPr="009710D7">
        <w:rPr>
          <w:b/>
          <w:bCs/>
          <w:highlight w:val="white"/>
          <w:u w:val="single"/>
        </w:rPr>
        <w:t xml:space="preserve"> Públicas competentes se </w:t>
      </w:r>
      <w:r w:rsidR="00360053" w:rsidRPr="009710D7">
        <w:rPr>
          <w:b/>
          <w:bCs/>
          <w:highlight w:val="white"/>
          <w:u w:val="single"/>
        </w:rPr>
        <w:t>adopten</w:t>
      </w:r>
      <w:r w:rsidR="005B71BD" w:rsidRPr="009710D7">
        <w:rPr>
          <w:b/>
          <w:bCs/>
          <w:highlight w:val="white"/>
          <w:u w:val="single"/>
        </w:rPr>
        <w:t xml:space="preserve"> las medidas </w:t>
      </w:r>
      <w:r w:rsidR="00E85828" w:rsidRPr="009710D7">
        <w:rPr>
          <w:b/>
          <w:bCs/>
          <w:highlight w:val="white"/>
          <w:u w:val="single"/>
        </w:rPr>
        <w:t>para el realojamiento adecuado de la parte demandada</w:t>
      </w:r>
      <w:r w:rsidR="005211A5" w:rsidRPr="008519A9">
        <w:rPr>
          <w:highlight w:val="white"/>
        </w:rPr>
        <w:t xml:space="preserve">. </w:t>
      </w:r>
    </w:p>
    <w:p w14:paraId="49A3CC05" w14:textId="77777777" w:rsidR="00D3034D" w:rsidRPr="008519A9" w:rsidRDefault="00D739F2">
      <w:pPr>
        <w:spacing w:before="240" w:after="200"/>
        <w:jc w:val="both"/>
        <w:rPr>
          <w:highlight w:val="white"/>
        </w:rPr>
      </w:pPr>
      <w:proofErr w:type="gramStart"/>
      <w:r w:rsidRPr="008519A9">
        <w:rPr>
          <w:b/>
          <w:bCs/>
          <w:highlight w:val="white"/>
        </w:rPr>
        <w:t>ASIMISMO</w:t>
      </w:r>
      <w:proofErr w:type="gramEnd"/>
      <w:r w:rsidRPr="008519A9">
        <w:rPr>
          <w:b/>
          <w:bCs/>
          <w:highlight w:val="white"/>
        </w:rPr>
        <w:t xml:space="preserve"> DIGO: </w:t>
      </w:r>
      <w:r w:rsidRPr="008519A9">
        <w:rPr>
          <w:highlight w:val="white"/>
        </w:rPr>
        <w:t>Que en el supuesto de se considere que este escrito debe presentarse mediante abogado y procurador, me sea notificada resolución, y se suspenda el procedimiento a efectos de solicitud de Justicia Gratuita o presentación por letrado de oficio que me represente.</w:t>
      </w:r>
    </w:p>
    <w:p w14:paraId="2BD6C77D" w14:textId="77777777" w:rsidR="00D3034D" w:rsidRPr="008519A9" w:rsidRDefault="00D739F2">
      <w:pPr>
        <w:spacing w:before="240" w:after="240"/>
        <w:rPr>
          <w:highlight w:val="white"/>
        </w:rPr>
      </w:pPr>
      <w:r w:rsidRPr="008519A9">
        <w:rPr>
          <w:highlight w:val="white"/>
        </w:rPr>
        <w:t xml:space="preserve"> </w:t>
      </w:r>
    </w:p>
    <w:p w14:paraId="1B54A7C3" w14:textId="4E352CA6" w:rsidR="00D3034D" w:rsidRPr="008519A9" w:rsidRDefault="005211A5">
      <w:pPr>
        <w:spacing w:before="240" w:after="240"/>
        <w:rPr>
          <w:highlight w:val="white"/>
        </w:rPr>
      </w:pPr>
      <w:r w:rsidRPr="008519A9">
        <w:rPr>
          <w:highlight w:val="white"/>
        </w:rPr>
        <w:t xml:space="preserve">En </w:t>
      </w:r>
      <w:r w:rsidR="00E85828" w:rsidRPr="00E85828">
        <w:rPr>
          <w:color w:val="388600"/>
          <w:highlight w:val="white"/>
        </w:rPr>
        <w:t xml:space="preserve">____________, </w:t>
      </w:r>
      <w:r w:rsidR="00E85828">
        <w:rPr>
          <w:highlight w:val="white"/>
        </w:rPr>
        <w:t xml:space="preserve">en </w:t>
      </w:r>
      <w:r w:rsidR="00E85828" w:rsidRPr="00E85828">
        <w:rPr>
          <w:color w:val="388600"/>
          <w:highlight w:val="white"/>
        </w:rPr>
        <w:t>_______</w:t>
      </w:r>
      <w:r w:rsidRPr="00E85828">
        <w:rPr>
          <w:color w:val="388600"/>
          <w:highlight w:val="white"/>
        </w:rPr>
        <w:t xml:space="preserve">. </w:t>
      </w:r>
    </w:p>
    <w:p w14:paraId="0A10E43E" w14:textId="77777777" w:rsidR="005211A5" w:rsidRPr="008519A9" w:rsidRDefault="005211A5">
      <w:pPr>
        <w:spacing w:before="240" w:after="240"/>
        <w:rPr>
          <w:highlight w:val="white"/>
        </w:rPr>
      </w:pPr>
    </w:p>
    <w:p w14:paraId="314F5BEF" w14:textId="77777777" w:rsidR="005211A5" w:rsidRPr="008519A9" w:rsidRDefault="005211A5">
      <w:pPr>
        <w:spacing w:before="240" w:after="240"/>
        <w:rPr>
          <w:highlight w:val="white"/>
        </w:rPr>
      </w:pPr>
    </w:p>
    <w:p w14:paraId="7DB4BA38" w14:textId="77777777" w:rsidR="005211A5" w:rsidRPr="008519A9" w:rsidRDefault="005211A5">
      <w:pPr>
        <w:spacing w:before="240" w:after="240"/>
        <w:rPr>
          <w:highlight w:val="white"/>
        </w:rPr>
      </w:pPr>
    </w:p>
    <w:p w14:paraId="01EC2D95" w14:textId="77777777" w:rsidR="005211A5" w:rsidRPr="008519A9" w:rsidRDefault="005211A5">
      <w:pPr>
        <w:spacing w:before="240" w:after="240"/>
        <w:rPr>
          <w:highlight w:val="white"/>
        </w:rPr>
      </w:pPr>
    </w:p>
    <w:p w14:paraId="62F8B531" w14:textId="1A340A4B" w:rsidR="005211A5" w:rsidRPr="008519A9" w:rsidRDefault="005211A5">
      <w:pPr>
        <w:spacing w:before="240" w:after="240"/>
        <w:rPr>
          <w:highlight w:val="white"/>
        </w:rPr>
      </w:pPr>
      <w:r w:rsidRPr="008519A9">
        <w:rPr>
          <w:b/>
          <w:bCs/>
          <w:highlight w:val="white"/>
        </w:rPr>
        <w:t xml:space="preserve">Fdo. </w:t>
      </w:r>
      <w:r w:rsidR="00E85828" w:rsidRPr="00E85828">
        <w:rPr>
          <w:b/>
          <w:bCs/>
          <w:color w:val="388600"/>
          <w:highlight w:val="white"/>
        </w:rPr>
        <w:t>___________</w:t>
      </w:r>
    </w:p>
    <w:sectPr w:rsidR="005211A5" w:rsidRPr="008519A9">
      <w:headerReference w:type="default" r:id="rId11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991EA" w14:textId="77777777" w:rsidR="004F4124" w:rsidRPr="008519A9" w:rsidRDefault="004F4124">
      <w:pPr>
        <w:spacing w:line="240" w:lineRule="auto"/>
      </w:pPr>
      <w:r w:rsidRPr="008519A9">
        <w:separator/>
      </w:r>
    </w:p>
  </w:endnote>
  <w:endnote w:type="continuationSeparator" w:id="0">
    <w:p w14:paraId="3EE1A9A2" w14:textId="77777777" w:rsidR="004F4124" w:rsidRPr="008519A9" w:rsidRDefault="004F4124">
      <w:pPr>
        <w:spacing w:line="240" w:lineRule="auto"/>
      </w:pPr>
      <w:r w:rsidRPr="008519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1581DA3-EA0D-44A2-BF07-1456C56E471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C6F05F6-06E4-445E-8EDE-FC440B9922B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99A15" w14:textId="77777777" w:rsidR="004F4124" w:rsidRPr="008519A9" w:rsidRDefault="004F4124">
      <w:pPr>
        <w:spacing w:line="240" w:lineRule="auto"/>
      </w:pPr>
      <w:r w:rsidRPr="008519A9">
        <w:separator/>
      </w:r>
    </w:p>
  </w:footnote>
  <w:footnote w:type="continuationSeparator" w:id="0">
    <w:p w14:paraId="37196DDE" w14:textId="77777777" w:rsidR="004F4124" w:rsidRPr="008519A9" w:rsidRDefault="004F4124">
      <w:pPr>
        <w:spacing w:line="240" w:lineRule="auto"/>
      </w:pPr>
      <w:r w:rsidRPr="008519A9">
        <w:continuationSeparator/>
      </w:r>
    </w:p>
  </w:footnote>
  <w:footnote w:id="1">
    <w:p w14:paraId="4304464B" w14:textId="1A1BB6B4" w:rsidR="00B36801" w:rsidRPr="00B36801" w:rsidRDefault="00B36801">
      <w:pPr>
        <w:pStyle w:val="Textdenotaapeudepgina"/>
        <w:rPr>
          <w:lang w:val="ca-ES"/>
        </w:rPr>
      </w:pPr>
      <w:r>
        <w:rPr>
          <w:rStyle w:val="Refernciadenotaapeudepgina"/>
        </w:rPr>
        <w:footnoteRef/>
      </w:r>
      <w:r>
        <w:t xml:space="preserve"> Dichos dictámenes están disponibles en: </w:t>
      </w:r>
      <w:hyperlink r:id="rId1" w:history="1">
        <w:r w:rsidR="00E7491C" w:rsidRPr="00203EC5">
          <w:rPr>
            <w:rStyle w:val="Enlla"/>
          </w:rPr>
          <w:t>https://juris.ohchr.org/casedetails/2606/en-US</w:t>
        </w:r>
      </w:hyperlink>
      <w:r w:rsidR="00E7491C">
        <w:t xml:space="preserve"> y </w:t>
      </w:r>
      <w:hyperlink r:id="rId2" w:history="1">
        <w:r w:rsidR="000D4433" w:rsidRPr="00203EC5">
          <w:rPr>
            <w:rStyle w:val="Enlla"/>
          </w:rPr>
          <w:t>https://docs.un.org/es/E/C.12/61/D/5/2015</w:t>
        </w:r>
      </w:hyperlink>
      <w:r w:rsidR="000D4433">
        <w:t xml:space="preserve"> </w:t>
      </w:r>
    </w:p>
  </w:footnote>
  <w:footnote w:id="2">
    <w:p w14:paraId="561EF6E7" w14:textId="1E8C2C7D" w:rsidR="00F9749A" w:rsidRPr="00F9749A" w:rsidRDefault="00F9749A">
      <w:pPr>
        <w:pStyle w:val="Textdenotaapeudepgina"/>
        <w:rPr>
          <w:lang w:val="ca-ES"/>
        </w:rPr>
      </w:pPr>
      <w:r>
        <w:rPr>
          <w:rStyle w:val="Refernciadenotaapeudepgina"/>
        </w:rPr>
        <w:footnoteRef/>
      </w:r>
      <w:r>
        <w:t xml:space="preserve"> </w:t>
      </w:r>
      <w:r>
        <w:rPr>
          <w:lang w:val="ca-ES"/>
        </w:rPr>
        <w:t xml:space="preserve">Disponible en: </w:t>
      </w:r>
      <w:hyperlink r:id="rId3" w:history="1">
        <w:r w:rsidR="000F66B3" w:rsidRPr="00203EC5">
          <w:rPr>
            <w:rStyle w:val="Enlla"/>
            <w:lang w:val="ca-ES"/>
          </w:rPr>
          <w:t>https://juris.ohchr.org/casedetails/2923/en-US</w:t>
        </w:r>
      </w:hyperlink>
      <w:r w:rsidR="000F66B3">
        <w:rPr>
          <w:lang w:val="ca-E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4C36B" w14:textId="77777777" w:rsidR="00D3034D" w:rsidRPr="008519A9" w:rsidRDefault="00D739F2">
    <w:r w:rsidRPr="008519A9">
      <w:rPr>
        <w:noProof/>
      </w:rPr>
      <w:drawing>
        <wp:inline distT="114300" distB="114300" distL="114300" distR="114300" wp14:anchorId="5F0F1601" wp14:editId="60CC126E">
          <wp:extent cx="1285875" cy="46672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5875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939BD4E" w14:textId="77777777" w:rsidR="00D3034D" w:rsidRPr="008519A9" w:rsidRDefault="00D3034D"/>
  <w:p w14:paraId="17204696" w14:textId="77777777" w:rsidR="00D3034D" w:rsidRPr="008519A9" w:rsidRDefault="00D3034D"/>
  <w:p w14:paraId="4C409586" w14:textId="77777777" w:rsidR="00D3034D" w:rsidRPr="008519A9" w:rsidRDefault="00D3034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568C6"/>
    <w:multiLevelType w:val="hybridMultilevel"/>
    <w:tmpl w:val="870EB31A"/>
    <w:lvl w:ilvl="0" w:tplc="E84087F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856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34D"/>
    <w:rsid w:val="00004E23"/>
    <w:rsid w:val="00006914"/>
    <w:rsid w:val="00006E65"/>
    <w:rsid w:val="000165D9"/>
    <w:rsid w:val="00032EAA"/>
    <w:rsid w:val="00033CAA"/>
    <w:rsid w:val="00067D92"/>
    <w:rsid w:val="00070BF5"/>
    <w:rsid w:val="00084BCA"/>
    <w:rsid w:val="00085BF1"/>
    <w:rsid w:val="00086722"/>
    <w:rsid w:val="000942E5"/>
    <w:rsid w:val="000953CA"/>
    <w:rsid w:val="0009720E"/>
    <w:rsid w:val="000A171E"/>
    <w:rsid w:val="000C2CEB"/>
    <w:rsid w:val="000C7780"/>
    <w:rsid w:val="000D4433"/>
    <w:rsid w:val="000E4C98"/>
    <w:rsid w:val="000F66B3"/>
    <w:rsid w:val="0010101E"/>
    <w:rsid w:val="00126DA6"/>
    <w:rsid w:val="00140FA3"/>
    <w:rsid w:val="001546F4"/>
    <w:rsid w:val="00181B76"/>
    <w:rsid w:val="00190F4C"/>
    <w:rsid w:val="00195BB0"/>
    <w:rsid w:val="001A1ADE"/>
    <w:rsid w:val="001A3789"/>
    <w:rsid w:val="001A5981"/>
    <w:rsid w:val="001B2837"/>
    <w:rsid w:val="001B7BEB"/>
    <w:rsid w:val="001C027E"/>
    <w:rsid w:val="001C2F22"/>
    <w:rsid w:val="001C69FE"/>
    <w:rsid w:val="001D218A"/>
    <w:rsid w:val="001E1C7E"/>
    <w:rsid w:val="001E4960"/>
    <w:rsid w:val="001E63D7"/>
    <w:rsid w:val="001F1022"/>
    <w:rsid w:val="0020560F"/>
    <w:rsid w:val="002146AE"/>
    <w:rsid w:val="00235883"/>
    <w:rsid w:val="00260D65"/>
    <w:rsid w:val="00261E2A"/>
    <w:rsid w:val="002632BD"/>
    <w:rsid w:val="00263BF2"/>
    <w:rsid w:val="00267523"/>
    <w:rsid w:val="00276A27"/>
    <w:rsid w:val="0027726D"/>
    <w:rsid w:val="00291602"/>
    <w:rsid w:val="002A4B94"/>
    <w:rsid w:val="002A587D"/>
    <w:rsid w:val="002B4293"/>
    <w:rsid w:val="002B79D1"/>
    <w:rsid w:val="002D4B1D"/>
    <w:rsid w:val="002E066B"/>
    <w:rsid w:val="002E56A4"/>
    <w:rsid w:val="00305182"/>
    <w:rsid w:val="00307EA3"/>
    <w:rsid w:val="003107C2"/>
    <w:rsid w:val="0032044F"/>
    <w:rsid w:val="00351CFB"/>
    <w:rsid w:val="00360053"/>
    <w:rsid w:val="00363D88"/>
    <w:rsid w:val="00366A6A"/>
    <w:rsid w:val="0037039F"/>
    <w:rsid w:val="00375889"/>
    <w:rsid w:val="0038435A"/>
    <w:rsid w:val="00396F16"/>
    <w:rsid w:val="003B6AB2"/>
    <w:rsid w:val="003D28B8"/>
    <w:rsid w:val="003E4D79"/>
    <w:rsid w:val="003F2A6C"/>
    <w:rsid w:val="003F32AF"/>
    <w:rsid w:val="004106B5"/>
    <w:rsid w:val="004342B7"/>
    <w:rsid w:val="004617A9"/>
    <w:rsid w:val="00463534"/>
    <w:rsid w:val="004740F3"/>
    <w:rsid w:val="00475A18"/>
    <w:rsid w:val="00475B96"/>
    <w:rsid w:val="004A316A"/>
    <w:rsid w:val="004B37F1"/>
    <w:rsid w:val="004C60A1"/>
    <w:rsid w:val="004D0396"/>
    <w:rsid w:val="004D4FFB"/>
    <w:rsid w:val="004D6462"/>
    <w:rsid w:val="004E5174"/>
    <w:rsid w:val="004E562A"/>
    <w:rsid w:val="004F4124"/>
    <w:rsid w:val="0050502F"/>
    <w:rsid w:val="005178D5"/>
    <w:rsid w:val="00517E08"/>
    <w:rsid w:val="005211A5"/>
    <w:rsid w:val="005270FD"/>
    <w:rsid w:val="005306D9"/>
    <w:rsid w:val="00551760"/>
    <w:rsid w:val="00574AE8"/>
    <w:rsid w:val="0058587F"/>
    <w:rsid w:val="005A1952"/>
    <w:rsid w:val="005A5016"/>
    <w:rsid w:val="005B2522"/>
    <w:rsid w:val="005B60C2"/>
    <w:rsid w:val="005B71BD"/>
    <w:rsid w:val="005C4719"/>
    <w:rsid w:val="005E272D"/>
    <w:rsid w:val="005F0706"/>
    <w:rsid w:val="005F7835"/>
    <w:rsid w:val="006147DE"/>
    <w:rsid w:val="006212D1"/>
    <w:rsid w:val="006547C9"/>
    <w:rsid w:val="00671DA9"/>
    <w:rsid w:val="00672D4E"/>
    <w:rsid w:val="006741E2"/>
    <w:rsid w:val="00683CB0"/>
    <w:rsid w:val="00691E52"/>
    <w:rsid w:val="00692861"/>
    <w:rsid w:val="00692EC1"/>
    <w:rsid w:val="0069779C"/>
    <w:rsid w:val="006D08ED"/>
    <w:rsid w:val="006F055F"/>
    <w:rsid w:val="00714853"/>
    <w:rsid w:val="00717AB2"/>
    <w:rsid w:val="00725275"/>
    <w:rsid w:val="0072710E"/>
    <w:rsid w:val="0073145E"/>
    <w:rsid w:val="00737888"/>
    <w:rsid w:val="00741966"/>
    <w:rsid w:val="00742D38"/>
    <w:rsid w:val="00762389"/>
    <w:rsid w:val="0076683F"/>
    <w:rsid w:val="0077754E"/>
    <w:rsid w:val="00782209"/>
    <w:rsid w:val="00785F09"/>
    <w:rsid w:val="007A2329"/>
    <w:rsid w:val="007B06E6"/>
    <w:rsid w:val="007E782E"/>
    <w:rsid w:val="00804338"/>
    <w:rsid w:val="00805BB4"/>
    <w:rsid w:val="00810559"/>
    <w:rsid w:val="008145EE"/>
    <w:rsid w:val="00831915"/>
    <w:rsid w:val="0083264F"/>
    <w:rsid w:val="008400A3"/>
    <w:rsid w:val="008519A9"/>
    <w:rsid w:val="00881080"/>
    <w:rsid w:val="008831AE"/>
    <w:rsid w:val="00883758"/>
    <w:rsid w:val="00886614"/>
    <w:rsid w:val="00887F79"/>
    <w:rsid w:val="008B0561"/>
    <w:rsid w:val="008B4043"/>
    <w:rsid w:val="008C0F67"/>
    <w:rsid w:val="008C3B1D"/>
    <w:rsid w:val="008D1FCD"/>
    <w:rsid w:val="008D666F"/>
    <w:rsid w:val="008E3DC2"/>
    <w:rsid w:val="009007D1"/>
    <w:rsid w:val="00902255"/>
    <w:rsid w:val="00904119"/>
    <w:rsid w:val="00915BDF"/>
    <w:rsid w:val="00916D38"/>
    <w:rsid w:val="009203C3"/>
    <w:rsid w:val="00926067"/>
    <w:rsid w:val="009266C7"/>
    <w:rsid w:val="00950163"/>
    <w:rsid w:val="0095287D"/>
    <w:rsid w:val="0095584D"/>
    <w:rsid w:val="009710D7"/>
    <w:rsid w:val="00991B41"/>
    <w:rsid w:val="0099306F"/>
    <w:rsid w:val="009A2AA0"/>
    <w:rsid w:val="009B56E9"/>
    <w:rsid w:val="009C7300"/>
    <w:rsid w:val="009D49D8"/>
    <w:rsid w:val="009D7F34"/>
    <w:rsid w:val="009E7160"/>
    <w:rsid w:val="00A01098"/>
    <w:rsid w:val="00A02C75"/>
    <w:rsid w:val="00A03A20"/>
    <w:rsid w:val="00A04562"/>
    <w:rsid w:val="00A11B1B"/>
    <w:rsid w:val="00A15289"/>
    <w:rsid w:val="00A24347"/>
    <w:rsid w:val="00A26530"/>
    <w:rsid w:val="00A32EC1"/>
    <w:rsid w:val="00A403E6"/>
    <w:rsid w:val="00A5055C"/>
    <w:rsid w:val="00A52DCE"/>
    <w:rsid w:val="00A626C0"/>
    <w:rsid w:val="00A708D8"/>
    <w:rsid w:val="00A72178"/>
    <w:rsid w:val="00A7618A"/>
    <w:rsid w:val="00A80DD8"/>
    <w:rsid w:val="00A95429"/>
    <w:rsid w:val="00AA251F"/>
    <w:rsid w:val="00AA3FD9"/>
    <w:rsid w:val="00AA4EF3"/>
    <w:rsid w:val="00AB0472"/>
    <w:rsid w:val="00AD231B"/>
    <w:rsid w:val="00AD3D03"/>
    <w:rsid w:val="00AE0721"/>
    <w:rsid w:val="00AE4BCB"/>
    <w:rsid w:val="00AF2C0B"/>
    <w:rsid w:val="00B0118D"/>
    <w:rsid w:val="00B0196F"/>
    <w:rsid w:val="00B2528D"/>
    <w:rsid w:val="00B26623"/>
    <w:rsid w:val="00B36801"/>
    <w:rsid w:val="00B42CC2"/>
    <w:rsid w:val="00B43B07"/>
    <w:rsid w:val="00B61DBF"/>
    <w:rsid w:val="00B6533C"/>
    <w:rsid w:val="00B86983"/>
    <w:rsid w:val="00B96A17"/>
    <w:rsid w:val="00BA47E9"/>
    <w:rsid w:val="00BA7C18"/>
    <w:rsid w:val="00BC20AE"/>
    <w:rsid w:val="00BD6AED"/>
    <w:rsid w:val="00BE00FF"/>
    <w:rsid w:val="00BE0DE8"/>
    <w:rsid w:val="00BE2AE0"/>
    <w:rsid w:val="00BE7268"/>
    <w:rsid w:val="00BF535C"/>
    <w:rsid w:val="00C0286B"/>
    <w:rsid w:val="00C06F58"/>
    <w:rsid w:val="00C075CF"/>
    <w:rsid w:val="00C16B02"/>
    <w:rsid w:val="00C172FD"/>
    <w:rsid w:val="00C2358A"/>
    <w:rsid w:val="00C30578"/>
    <w:rsid w:val="00C332E8"/>
    <w:rsid w:val="00C375CA"/>
    <w:rsid w:val="00C45512"/>
    <w:rsid w:val="00C5042D"/>
    <w:rsid w:val="00C562D8"/>
    <w:rsid w:val="00C56ED9"/>
    <w:rsid w:val="00C66EBC"/>
    <w:rsid w:val="00C74365"/>
    <w:rsid w:val="00C82AA0"/>
    <w:rsid w:val="00C87699"/>
    <w:rsid w:val="00C87AB1"/>
    <w:rsid w:val="00CB2A87"/>
    <w:rsid w:val="00CC1903"/>
    <w:rsid w:val="00CC479A"/>
    <w:rsid w:val="00CD35EB"/>
    <w:rsid w:val="00CE2585"/>
    <w:rsid w:val="00CE515C"/>
    <w:rsid w:val="00D1534A"/>
    <w:rsid w:val="00D16B01"/>
    <w:rsid w:val="00D26393"/>
    <w:rsid w:val="00D3034D"/>
    <w:rsid w:val="00D32723"/>
    <w:rsid w:val="00D44D41"/>
    <w:rsid w:val="00D47BDE"/>
    <w:rsid w:val="00D54CBF"/>
    <w:rsid w:val="00D61FE3"/>
    <w:rsid w:val="00D72BF3"/>
    <w:rsid w:val="00D739F2"/>
    <w:rsid w:val="00D96D27"/>
    <w:rsid w:val="00DA757E"/>
    <w:rsid w:val="00DC0D08"/>
    <w:rsid w:val="00DC404F"/>
    <w:rsid w:val="00DC464F"/>
    <w:rsid w:val="00DD5983"/>
    <w:rsid w:val="00DF171D"/>
    <w:rsid w:val="00DF1C50"/>
    <w:rsid w:val="00DF20F8"/>
    <w:rsid w:val="00DF73A5"/>
    <w:rsid w:val="00E20B3F"/>
    <w:rsid w:val="00E24866"/>
    <w:rsid w:val="00E362EF"/>
    <w:rsid w:val="00E5571D"/>
    <w:rsid w:val="00E56E94"/>
    <w:rsid w:val="00E620CC"/>
    <w:rsid w:val="00E7296D"/>
    <w:rsid w:val="00E7491C"/>
    <w:rsid w:val="00E803E3"/>
    <w:rsid w:val="00E85828"/>
    <w:rsid w:val="00EA2CB8"/>
    <w:rsid w:val="00EB7885"/>
    <w:rsid w:val="00EC09DC"/>
    <w:rsid w:val="00EC5458"/>
    <w:rsid w:val="00EC64A2"/>
    <w:rsid w:val="00ED3735"/>
    <w:rsid w:val="00ED7097"/>
    <w:rsid w:val="00EE114F"/>
    <w:rsid w:val="00EE1CD1"/>
    <w:rsid w:val="00EE1F80"/>
    <w:rsid w:val="00EF0AE5"/>
    <w:rsid w:val="00F45245"/>
    <w:rsid w:val="00F60083"/>
    <w:rsid w:val="00F713A1"/>
    <w:rsid w:val="00F77AA2"/>
    <w:rsid w:val="00F85CB8"/>
    <w:rsid w:val="00F9749A"/>
    <w:rsid w:val="00FA2694"/>
    <w:rsid w:val="00FB4BF6"/>
    <w:rsid w:val="00FC11E9"/>
    <w:rsid w:val="00FC1386"/>
    <w:rsid w:val="00FC3C17"/>
    <w:rsid w:val="00FC7A6B"/>
    <w:rsid w:val="00FD2B98"/>
    <w:rsid w:val="00FF464C"/>
    <w:rsid w:val="00FF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B362E"/>
  <w15:docId w15:val="{396C736E-E49A-4705-9A49-AE6122859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ca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160"/>
    <w:rPr>
      <w:lang w:val="es-ES"/>
    </w:rPr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ol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palera">
    <w:name w:val="header"/>
    <w:basedOn w:val="Normal"/>
    <w:link w:val="CapaleraCar"/>
    <w:uiPriority w:val="99"/>
    <w:semiHidden/>
    <w:unhideWhenUsed/>
    <w:rsid w:val="008400A3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semiHidden/>
    <w:rsid w:val="008400A3"/>
  </w:style>
  <w:style w:type="paragraph" w:styleId="Peu">
    <w:name w:val="footer"/>
    <w:basedOn w:val="Normal"/>
    <w:link w:val="PeuCar"/>
    <w:uiPriority w:val="99"/>
    <w:semiHidden/>
    <w:unhideWhenUsed/>
    <w:rsid w:val="008400A3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Lletraperdefectedelpargraf"/>
    <w:link w:val="Peu"/>
    <w:uiPriority w:val="99"/>
    <w:semiHidden/>
    <w:rsid w:val="008400A3"/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AE0721"/>
    <w:pPr>
      <w:spacing w:line="240" w:lineRule="auto"/>
    </w:pPr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AE0721"/>
    <w:rPr>
      <w:sz w:val="20"/>
      <w:szCs w:val="20"/>
    </w:rPr>
  </w:style>
  <w:style w:type="character" w:styleId="Refernciadenotaapeudepgina">
    <w:name w:val="footnote reference"/>
    <w:basedOn w:val="Lletraperdefectedelpargraf"/>
    <w:uiPriority w:val="99"/>
    <w:semiHidden/>
    <w:unhideWhenUsed/>
    <w:rsid w:val="00AE0721"/>
    <w:rPr>
      <w:vertAlign w:val="superscript"/>
    </w:rPr>
  </w:style>
  <w:style w:type="character" w:styleId="Enlla">
    <w:name w:val="Hyperlink"/>
    <w:basedOn w:val="Lletraperdefectedelpargraf"/>
    <w:uiPriority w:val="99"/>
    <w:unhideWhenUsed/>
    <w:rsid w:val="00475A18"/>
    <w:rPr>
      <w:color w:val="0000FF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75A18"/>
    <w:rPr>
      <w:color w:val="605E5C"/>
      <w:shd w:val="clear" w:color="auto" w:fill="E1DFDD"/>
    </w:rPr>
  </w:style>
  <w:style w:type="table" w:styleId="Taulaambquadrcula">
    <w:name w:val="Table Grid"/>
    <w:basedOn w:val="Taulanormal"/>
    <w:uiPriority w:val="39"/>
    <w:rsid w:val="00672D4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dellista">
    <w:name w:val="List Paragraph"/>
    <w:basedOn w:val="Normal"/>
    <w:uiPriority w:val="34"/>
    <w:qFormat/>
    <w:rsid w:val="00A70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juris.ohchr.org/casedetails/2923/en-US" TargetMode="External"/><Relationship Id="rId2" Type="http://schemas.openxmlformats.org/officeDocument/2006/relationships/hyperlink" Target="https://docs.un.org/es/E/C.12/61/D/5/2015" TargetMode="External"/><Relationship Id="rId1" Type="http://schemas.openxmlformats.org/officeDocument/2006/relationships/hyperlink" Target="https://juris.ohchr.org/casedetails/2606/en-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9266f8-4d7b-4357-bb81-7829d7c7a350">
      <Terms xmlns="http://schemas.microsoft.com/office/infopath/2007/PartnerControls"/>
    </lcf76f155ced4ddcb4097134ff3c332f>
    <TaxCatchAll xmlns="2628608a-facb-402e-a055-eb89a0338956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A0C1D72CAD89418BE757CDE1DE7D10" ma:contentTypeVersion="14" ma:contentTypeDescription="Crear nuevo documento." ma:contentTypeScope="" ma:versionID="93045a942bf6388c2e06f731902ffa49">
  <xsd:schema xmlns:xsd="http://www.w3.org/2001/XMLSchema" xmlns:xs="http://www.w3.org/2001/XMLSchema" xmlns:p="http://schemas.microsoft.com/office/2006/metadata/properties" xmlns:ns2="a29266f8-4d7b-4357-bb81-7829d7c7a350" xmlns:ns3="2628608a-facb-402e-a055-eb89a0338956" targetNamespace="http://schemas.microsoft.com/office/2006/metadata/properties" ma:root="true" ma:fieldsID="bf05f6ac30b9170161caf6c8c1024ab8" ns2:_="" ns3:_="">
    <xsd:import namespace="a29266f8-4d7b-4357-bb81-7829d7c7a350"/>
    <xsd:import namespace="2628608a-facb-402e-a055-eb89a03389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266f8-4d7b-4357-bb81-7829d7c7a3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4bba8c79-44c2-4cba-91d6-d72fadd24c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8608a-facb-402e-a055-eb89a033895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4a7c2a-afa6-4b5e-8108-ac5b73e0d320}" ma:internalName="TaxCatchAll" ma:showField="CatchAllData" ma:web="2628608a-facb-402e-a055-eb89a03389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1E8FB5-C0B3-49B8-881B-E6A896F64B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776341-0D24-4D03-90DD-51975FD632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B3D610-956E-406B-828D-2BB1854CECBE}">
  <ds:schemaRefs>
    <ds:schemaRef ds:uri="http://schemas.microsoft.com/office/2006/metadata/properties"/>
    <ds:schemaRef ds:uri="http://schemas.microsoft.com/office/infopath/2007/PartnerControls"/>
    <ds:schemaRef ds:uri="a29266f8-4d7b-4357-bb81-7829d7c7a350"/>
    <ds:schemaRef ds:uri="2628608a-facb-402e-a055-eb89a0338956"/>
  </ds:schemaRefs>
</ds:datastoreItem>
</file>

<file path=customXml/itemProps4.xml><?xml version="1.0" encoding="utf-8"?>
<ds:datastoreItem xmlns:ds="http://schemas.openxmlformats.org/officeDocument/2006/customXml" ds:itemID="{3749DFE6-5F94-470C-97BA-941F150A7D8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1691</TotalTime>
  <Pages>4</Pages>
  <Words>1274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Comunicació Observatori DESC</dc:creator>
  <cp:lastModifiedBy>Miguel Ruiz</cp:lastModifiedBy>
  <cp:revision>226</cp:revision>
  <dcterms:created xsi:type="dcterms:W3CDTF">2026-05-29T09:44:00Z</dcterms:created>
  <dcterms:modified xsi:type="dcterms:W3CDTF">2026-10-07T14:16:00Z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0x01010065A0C1D72CAD89418BE757CDE1DE7D10</vt:lpwstr>
  </property>
  <property fmtid="{D5CDD505-2E9C-101B-9397-08002B2CF9AE}" pid="3" name="MediaServiceImageTags">
    <vt:lpwstr/>
  </property>
</Properties>
</file>