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990" w:rsidRPr="00A42DF8" w:rsidRDefault="009B6990" w:rsidP="009B6990">
      <w:pPr>
        <w:pStyle w:val="Perdefecte"/>
        <w:widowControl w:val="0"/>
        <w:spacing w:line="240" w:lineRule="exact"/>
        <w:rPr>
          <w:rFonts w:cs="Arial"/>
          <w:b/>
          <w:bCs/>
          <w:sz w:val="28"/>
          <w:szCs w:val="28"/>
          <w:lang w:val="es-ES_tradnl"/>
        </w:rPr>
      </w:pPr>
      <w:r w:rsidRPr="00A42DF8">
        <w:rPr>
          <w:rFonts w:cs="Arial"/>
          <w:b/>
          <w:bCs/>
          <w:sz w:val="28"/>
          <w:szCs w:val="28"/>
          <w:lang w:val="es-ES_tradnl"/>
        </w:rPr>
        <w:t xml:space="preserve">Juzgados Primera Instancia nº </w:t>
      </w:r>
      <w:r w:rsidR="00C60685">
        <w:rPr>
          <w:rFonts w:cs="Arial"/>
          <w:b/>
          <w:bCs/>
          <w:sz w:val="28"/>
          <w:szCs w:val="28"/>
          <w:lang w:val="es-ES_tradnl"/>
        </w:rPr>
        <w:t>**</w:t>
      </w:r>
      <w:r w:rsidRPr="00A42DF8">
        <w:rPr>
          <w:rFonts w:cs="Arial"/>
          <w:b/>
          <w:bCs/>
          <w:sz w:val="28"/>
          <w:szCs w:val="28"/>
          <w:lang w:val="es-ES_tradnl"/>
        </w:rPr>
        <w:t xml:space="preserve"> de </w:t>
      </w:r>
      <w:r w:rsidR="00C60685">
        <w:rPr>
          <w:rFonts w:cs="Arial"/>
          <w:b/>
          <w:bCs/>
          <w:sz w:val="28"/>
          <w:szCs w:val="28"/>
          <w:lang w:val="es-ES_tradnl"/>
        </w:rPr>
        <w:t>*****</w:t>
      </w:r>
    </w:p>
    <w:p w:rsidR="009B6990" w:rsidRPr="00A42DF8" w:rsidRDefault="009B6990" w:rsidP="009B6990">
      <w:pPr>
        <w:pStyle w:val="Perdefecte"/>
        <w:widowControl w:val="0"/>
        <w:spacing w:line="240" w:lineRule="exact"/>
        <w:rPr>
          <w:rFonts w:cs="Arial"/>
          <w:b/>
          <w:bCs/>
          <w:sz w:val="28"/>
          <w:szCs w:val="28"/>
          <w:lang w:val="es-ES_tradnl"/>
        </w:rPr>
      </w:pPr>
      <w:r w:rsidRPr="00A42DF8">
        <w:rPr>
          <w:rFonts w:cs="Arial"/>
          <w:b/>
          <w:bCs/>
          <w:sz w:val="28"/>
          <w:szCs w:val="28"/>
          <w:lang w:val="es-ES_tradnl"/>
        </w:rPr>
        <w:t xml:space="preserve">Procedimiento desahucio por falta de pago </w:t>
      </w:r>
      <w:r w:rsidR="00C60685">
        <w:rPr>
          <w:rFonts w:cs="Arial"/>
          <w:b/>
          <w:bCs/>
          <w:sz w:val="28"/>
          <w:szCs w:val="28"/>
          <w:lang w:val="es-ES_tradnl"/>
        </w:rPr>
        <w:t>**</w:t>
      </w:r>
      <w:r w:rsidRPr="00A42DF8">
        <w:rPr>
          <w:rFonts w:cs="Arial"/>
          <w:b/>
          <w:bCs/>
          <w:sz w:val="28"/>
          <w:szCs w:val="28"/>
          <w:lang w:val="es-ES_tradnl"/>
        </w:rPr>
        <w:t>/20</w:t>
      </w:r>
      <w:r w:rsidR="00C60685">
        <w:rPr>
          <w:rFonts w:cs="Arial"/>
          <w:b/>
          <w:bCs/>
          <w:sz w:val="28"/>
          <w:szCs w:val="28"/>
          <w:lang w:val="es-ES_tradnl"/>
        </w:rPr>
        <w:t>**-**</w:t>
      </w:r>
    </w:p>
    <w:p w:rsidR="009B6990" w:rsidRPr="00A42DF8" w:rsidRDefault="009B6990" w:rsidP="009B6990">
      <w:pPr>
        <w:pStyle w:val="Perdefecte"/>
        <w:widowControl w:val="0"/>
        <w:spacing w:line="240" w:lineRule="exact"/>
        <w:rPr>
          <w:rFonts w:cs="Arial"/>
          <w:b/>
          <w:bCs/>
          <w:sz w:val="24"/>
          <w:szCs w:val="24"/>
          <w:lang w:val="es-ES_tradnl"/>
        </w:rPr>
      </w:pPr>
    </w:p>
    <w:p w:rsidR="009B6990" w:rsidRPr="00A42DF8" w:rsidRDefault="009B6990" w:rsidP="009B6990">
      <w:pPr>
        <w:pStyle w:val="Perdefecte"/>
        <w:widowControl w:val="0"/>
        <w:spacing w:line="240" w:lineRule="exact"/>
        <w:jc w:val="both"/>
        <w:rPr>
          <w:lang w:val="es-ES_tradnl"/>
        </w:rPr>
      </w:pPr>
    </w:p>
    <w:p w:rsidR="009B6990" w:rsidRPr="00A42DF8" w:rsidRDefault="009B6990" w:rsidP="009B6990">
      <w:pPr>
        <w:pStyle w:val="Perdefecte"/>
        <w:spacing w:line="240" w:lineRule="exact"/>
        <w:jc w:val="center"/>
        <w:rPr>
          <w:lang w:val="es-ES_tradnl"/>
        </w:rPr>
      </w:pPr>
    </w:p>
    <w:p w:rsidR="009B6990" w:rsidRPr="00A42DF8" w:rsidRDefault="009B6990" w:rsidP="009B6990">
      <w:pPr>
        <w:pStyle w:val="Perdefecte"/>
        <w:spacing w:line="240" w:lineRule="exact"/>
        <w:jc w:val="center"/>
        <w:rPr>
          <w:rFonts w:eastAsia="Times New Roman"/>
          <w:b/>
          <w:bCs/>
          <w:sz w:val="26"/>
          <w:szCs w:val="26"/>
          <w:lang w:val="es-ES_tradnl" w:eastAsia="es-ES"/>
        </w:rPr>
      </w:pPr>
      <w:r w:rsidRPr="00A42DF8">
        <w:rPr>
          <w:rFonts w:eastAsia="Times New Roman"/>
          <w:b/>
          <w:bCs/>
          <w:sz w:val="26"/>
          <w:szCs w:val="26"/>
          <w:lang w:val="es-ES_tradnl" w:eastAsia="es-ES"/>
        </w:rPr>
        <w:t xml:space="preserve">AL JUZGADO DE PRIMERA INSTANCIA NÚMERO </w:t>
      </w:r>
      <w:r w:rsidR="00C60685">
        <w:rPr>
          <w:rFonts w:eastAsia="Times New Roman"/>
          <w:b/>
          <w:bCs/>
          <w:sz w:val="26"/>
          <w:szCs w:val="26"/>
          <w:lang w:val="es-ES_tradnl" w:eastAsia="es-ES"/>
        </w:rPr>
        <w:t>**</w:t>
      </w:r>
      <w:r w:rsidRPr="00A42DF8">
        <w:rPr>
          <w:rFonts w:eastAsia="Times New Roman"/>
          <w:b/>
          <w:bCs/>
          <w:sz w:val="26"/>
          <w:szCs w:val="26"/>
          <w:lang w:val="es-ES_tradnl" w:eastAsia="es-ES"/>
        </w:rPr>
        <w:t xml:space="preserve"> DE </w:t>
      </w:r>
      <w:r w:rsidR="00C60685">
        <w:rPr>
          <w:rFonts w:eastAsia="Times New Roman"/>
          <w:b/>
          <w:bCs/>
          <w:sz w:val="26"/>
          <w:szCs w:val="26"/>
          <w:lang w:val="es-ES_tradnl" w:eastAsia="es-ES"/>
        </w:rPr>
        <w:t>******</w:t>
      </w:r>
    </w:p>
    <w:p w:rsidR="009B6990" w:rsidRPr="00A42DF8" w:rsidRDefault="009B6990" w:rsidP="009B6990">
      <w:pPr>
        <w:pStyle w:val="Perdefecte"/>
        <w:spacing w:line="240" w:lineRule="exact"/>
        <w:jc w:val="center"/>
        <w:rPr>
          <w:rFonts w:eastAsia="Times New Roman"/>
          <w:b/>
          <w:bCs/>
          <w:sz w:val="24"/>
          <w:szCs w:val="24"/>
          <w:lang w:val="es-ES_tradnl" w:eastAsia="es-ES"/>
        </w:rPr>
      </w:pPr>
    </w:p>
    <w:p w:rsidR="009B6990" w:rsidRPr="00A42DF8" w:rsidRDefault="009B6990" w:rsidP="009B6990">
      <w:pPr>
        <w:pStyle w:val="Perdefecte"/>
        <w:spacing w:line="240" w:lineRule="exact"/>
        <w:jc w:val="both"/>
        <w:rPr>
          <w:lang w:val="es-ES_tradnl"/>
        </w:rPr>
      </w:pPr>
    </w:p>
    <w:p w:rsidR="009B6990" w:rsidRPr="00A42DF8" w:rsidRDefault="00C60685" w:rsidP="009B6990">
      <w:pPr>
        <w:pStyle w:val="Perdefecte"/>
        <w:spacing w:line="360" w:lineRule="auto"/>
        <w:jc w:val="both"/>
        <w:rPr>
          <w:lang w:val="es-ES_tradnl"/>
        </w:rPr>
      </w:pPr>
      <w:r>
        <w:rPr>
          <w:b/>
          <w:bCs/>
          <w:lang w:val="es-ES_tradnl"/>
        </w:rPr>
        <w:t>DON/DOÑA *****</w:t>
      </w:r>
      <w:r w:rsidR="009B6990" w:rsidRPr="00A42DF8">
        <w:rPr>
          <w:bCs/>
          <w:lang w:val="es-ES_tradnl"/>
        </w:rPr>
        <w:t xml:space="preserve">, procuradora de los Tribunales de </w:t>
      </w:r>
      <w:r>
        <w:rPr>
          <w:bCs/>
          <w:lang w:val="es-ES_tradnl"/>
        </w:rPr>
        <w:t xml:space="preserve">**** </w:t>
      </w:r>
      <w:r w:rsidR="00E80488">
        <w:rPr>
          <w:bCs/>
          <w:lang w:val="es-ES_tradnl"/>
        </w:rPr>
        <w:t xml:space="preserve">actuando en nombre </w:t>
      </w:r>
      <w:bookmarkStart w:id="0" w:name="_GoBack"/>
      <w:bookmarkEnd w:id="0"/>
      <w:r w:rsidR="009B6990" w:rsidRPr="00A42DF8">
        <w:rPr>
          <w:bCs/>
          <w:lang w:val="es-ES_tradnl"/>
        </w:rPr>
        <w:t xml:space="preserve">y representación de </w:t>
      </w:r>
      <w:r w:rsidR="009B6990" w:rsidRPr="00A42DF8">
        <w:rPr>
          <w:b/>
          <w:bCs/>
          <w:lang w:val="es-ES_tradnl"/>
        </w:rPr>
        <w:t>DON</w:t>
      </w:r>
      <w:r>
        <w:rPr>
          <w:b/>
          <w:bCs/>
          <w:lang w:val="es-ES_tradnl"/>
        </w:rPr>
        <w:t>/DOÑA ****</w:t>
      </w:r>
      <w:r w:rsidR="009B6990" w:rsidRPr="00A42DF8">
        <w:rPr>
          <w:bCs/>
          <w:lang w:val="es-ES_tradnl"/>
        </w:rPr>
        <w:t xml:space="preserve">, y bajo la dirección letrada de </w:t>
      </w:r>
      <w:r>
        <w:rPr>
          <w:bCs/>
          <w:lang w:val="es-ES_tradnl"/>
        </w:rPr>
        <w:t xml:space="preserve">******* </w:t>
      </w:r>
      <w:r w:rsidR="009B6990" w:rsidRPr="00A42DF8">
        <w:rPr>
          <w:bCs/>
          <w:lang w:val="es-ES_tradnl"/>
        </w:rPr>
        <w:t>letrad</w:t>
      </w:r>
      <w:r>
        <w:rPr>
          <w:bCs/>
          <w:lang w:val="es-ES_tradnl"/>
        </w:rPr>
        <w:t>a</w:t>
      </w:r>
      <w:r w:rsidR="001C3C5C">
        <w:rPr>
          <w:bCs/>
          <w:lang w:val="es-ES_tradnl"/>
        </w:rPr>
        <w:t xml:space="preserve"> colegiada ICA*</w:t>
      </w:r>
      <w:r w:rsidR="009B6990" w:rsidRPr="00A42DF8">
        <w:rPr>
          <w:bCs/>
          <w:lang w:val="es-ES_tradnl"/>
        </w:rPr>
        <w:t xml:space="preserve"> número</w:t>
      </w:r>
      <w:r w:rsidR="00DD5187">
        <w:rPr>
          <w:bCs/>
          <w:lang w:val="es-ES_tradnl"/>
        </w:rPr>
        <w:t>****</w:t>
      </w:r>
      <w:r w:rsidR="007D50B6">
        <w:rPr>
          <w:bCs/>
          <w:lang w:val="es-ES_tradnl"/>
        </w:rPr>
        <w:t>, ante e</w:t>
      </w:r>
      <w:r w:rsidR="009B6990" w:rsidRPr="00A42DF8">
        <w:rPr>
          <w:bCs/>
          <w:lang w:val="es-ES_tradnl"/>
        </w:rPr>
        <w:t>ste Juzgado comparezco y como mejor proceda en Derecho</w:t>
      </w:r>
      <w:r w:rsidR="009B6990" w:rsidRPr="00A42DF8">
        <w:rPr>
          <w:lang w:val="es-ES_tradnl"/>
        </w:rPr>
        <w:t xml:space="preserve">, </w:t>
      </w:r>
    </w:p>
    <w:p w:rsidR="009B6990" w:rsidRPr="00A42DF8" w:rsidRDefault="009B6990" w:rsidP="009B6990">
      <w:pPr>
        <w:pStyle w:val="Perdefecte"/>
        <w:spacing w:line="360" w:lineRule="auto"/>
        <w:jc w:val="both"/>
        <w:rPr>
          <w:lang w:val="es-ES_tradnl"/>
        </w:rPr>
      </w:pPr>
    </w:p>
    <w:p w:rsidR="009B6990" w:rsidRPr="00A42DF8" w:rsidRDefault="009B6990" w:rsidP="009B6990">
      <w:pPr>
        <w:pStyle w:val="Perdefecte"/>
        <w:spacing w:line="360" w:lineRule="auto"/>
        <w:ind w:left="3540"/>
        <w:jc w:val="both"/>
        <w:rPr>
          <w:b/>
          <w:sz w:val="26"/>
          <w:szCs w:val="26"/>
          <w:lang w:val="es-ES_tradnl"/>
        </w:rPr>
      </w:pPr>
      <w:r w:rsidRPr="00A42DF8">
        <w:rPr>
          <w:b/>
          <w:sz w:val="26"/>
          <w:szCs w:val="26"/>
          <w:lang w:val="es-ES_tradnl"/>
        </w:rPr>
        <w:t xml:space="preserve">      DIGO:</w:t>
      </w:r>
    </w:p>
    <w:p w:rsidR="009B6990" w:rsidRPr="00A42DF8" w:rsidRDefault="009B6990" w:rsidP="009B6990">
      <w:pPr>
        <w:pStyle w:val="Perdefecte"/>
        <w:spacing w:line="360" w:lineRule="auto"/>
        <w:jc w:val="both"/>
        <w:rPr>
          <w:lang w:val="es-ES_tradnl"/>
        </w:rPr>
      </w:pPr>
      <w:r w:rsidRPr="00A42DF8">
        <w:rPr>
          <w:rFonts w:eastAsia="Times New Roman"/>
          <w:lang w:val="es-ES_tradnl" w:eastAsia="es-ES"/>
        </w:rPr>
        <w:t xml:space="preserve">Que habiendo sido notificado a esta parte el pasado </w:t>
      </w:r>
      <w:r w:rsidR="00C60685">
        <w:rPr>
          <w:rFonts w:eastAsia="Times New Roman"/>
          <w:lang w:val="es-ES_tradnl" w:eastAsia="es-ES"/>
        </w:rPr>
        <w:t xml:space="preserve">** </w:t>
      </w:r>
      <w:r w:rsidRPr="00A42DF8">
        <w:rPr>
          <w:rFonts w:eastAsia="Times New Roman"/>
          <w:lang w:val="es-ES_tradnl" w:eastAsia="es-ES"/>
        </w:rPr>
        <w:t xml:space="preserve"> de </w:t>
      </w:r>
      <w:r w:rsidR="00C60685">
        <w:rPr>
          <w:rFonts w:eastAsia="Times New Roman"/>
          <w:lang w:val="es-ES_tradnl" w:eastAsia="es-ES"/>
        </w:rPr>
        <w:t xml:space="preserve">****** </w:t>
      </w:r>
      <w:r w:rsidRPr="00A42DF8">
        <w:rPr>
          <w:rFonts w:eastAsia="Times New Roman"/>
          <w:lang w:val="es-ES_tradnl" w:eastAsia="es-ES"/>
        </w:rPr>
        <w:t>de 20</w:t>
      </w:r>
      <w:r w:rsidR="00C60685">
        <w:rPr>
          <w:rFonts w:eastAsia="Times New Roman"/>
          <w:lang w:val="es-ES_tradnl" w:eastAsia="es-ES"/>
        </w:rPr>
        <w:t>**</w:t>
      </w:r>
      <w:r w:rsidRPr="00A42DF8">
        <w:rPr>
          <w:rFonts w:eastAsia="Times New Roman"/>
          <w:lang w:val="es-ES_tradnl" w:eastAsia="es-ES"/>
        </w:rPr>
        <w:t xml:space="preserve"> diligencia de ordenación d</w:t>
      </w:r>
      <w:r w:rsidR="007D50B6">
        <w:rPr>
          <w:rFonts w:eastAsia="Times New Roman"/>
          <w:lang w:val="es-ES_tradnl" w:eastAsia="es-ES"/>
        </w:rPr>
        <w:t>e e</w:t>
      </w:r>
      <w:r w:rsidRPr="00A42DF8">
        <w:rPr>
          <w:rFonts w:eastAsia="Times New Roman"/>
          <w:lang w:val="es-ES_tradnl" w:eastAsia="es-ES"/>
        </w:rPr>
        <w:t xml:space="preserve">ste Juzgado de fecha de </w:t>
      </w:r>
      <w:r w:rsidR="00C60685">
        <w:rPr>
          <w:rFonts w:eastAsia="Times New Roman"/>
          <w:lang w:val="es-ES_tradnl" w:eastAsia="es-ES"/>
        </w:rPr>
        <w:t>**</w:t>
      </w:r>
      <w:r w:rsidRPr="00A42DF8">
        <w:rPr>
          <w:rFonts w:eastAsia="Times New Roman"/>
          <w:lang w:val="es-ES_tradnl" w:eastAsia="es-ES"/>
        </w:rPr>
        <w:t xml:space="preserve"> de noviembre de </w:t>
      </w:r>
      <w:r w:rsidR="00C60685">
        <w:rPr>
          <w:rFonts w:eastAsia="Times New Roman"/>
          <w:lang w:val="es-ES_tradnl" w:eastAsia="es-ES"/>
        </w:rPr>
        <w:t>****</w:t>
      </w:r>
      <w:r w:rsidRPr="00A42DF8">
        <w:rPr>
          <w:rFonts w:eastAsia="Times New Roman"/>
          <w:lang w:val="es-ES_tradnl" w:eastAsia="es-ES"/>
        </w:rPr>
        <w:t xml:space="preserve"> solicitando fecha en el SACC para que fijen “fecha abierta” para el desahucio del que trae los autos el presente procedimiento, a fin de evitar el conocimiento de dicha fecha por la parte demandada, en la representación que ostento y mediante el presente escrito paso a formular </w:t>
      </w:r>
      <w:r w:rsidRPr="00A42DF8">
        <w:rPr>
          <w:rFonts w:eastAsia="Times New Roman"/>
          <w:b/>
          <w:u w:val="single" w:color="000000"/>
          <w:lang w:val="es-ES_tradnl" w:eastAsia="es-ES"/>
        </w:rPr>
        <w:t xml:space="preserve">RECURSO de REPOSICIÓN </w:t>
      </w:r>
      <w:r w:rsidRPr="00A42DF8">
        <w:rPr>
          <w:rFonts w:eastAsia="Times New Roman"/>
          <w:lang w:val="es-ES_tradnl" w:eastAsia="es-ES"/>
        </w:rPr>
        <w:t>contra el referido escrito en base a las siguientes</w:t>
      </w:r>
    </w:p>
    <w:p w:rsidR="009B6990" w:rsidRPr="00A42DF8" w:rsidRDefault="009B6990" w:rsidP="009B6990">
      <w:pPr>
        <w:pStyle w:val="Perdefecte"/>
        <w:spacing w:line="360" w:lineRule="auto"/>
        <w:jc w:val="both"/>
        <w:rPr>
          <w:lang w:val="es-ES_tradnl"/>
        </w:rPr>
      </w:pPr>
    </w:p>
    <w:p w:rsidR="009B6990" w:rsidRPr="00A42DF8" w:rsidRDefault="009B6990" w:rsidP="009B6990">
      <w:pPr>
        <w:pStyle w:val="Perdefecte"/>
        <w:tabs>
          <w:tab w:val="left" w:pos="3026"/>
        </w:tabs>
        <w:spacing w:line="360" w:lineRule="auto"/>
        <w:ind w:firstLine="708"/>
        <w:rPr>
          <w:rFonts w:eastAsia="Times New Roman"/>
          <w:b/>
          <w:sz w:val="26"/>
          <w:szCs w:val="26"/>
          <w:lang w:val="es-ES_tradnl" w:eastAsia="es-ES"/>
        </w:rPr>
      </w:pPr>
      <w:r w:rsidRPr="00A42DF8">
        <w:rPr>
          <w:rFonts w:eastAsia="Times New Roman"/>
          <w:b/>
          <w:sz w:val="26"/>
          <w:szCs w:val="26"/>
          <w:lang w:val="es-ES_tradnl" w:eastAsia="es-ES"/>
        </w:rPr>
        <w:t xml:space="preserve">   </w:t>
      </w:r>
      <w:r w:rsidRPr="00A42DF8">
        <w:rPr>
          <w:rFonts w:eastAsia="Times New Roman"/>
          <w:b/>
          <w:sz w:val="26"/>
          <w:szCs w:val="26"/>
          <w:lang w:val="es-ES_tradnl" w:eastAsia="es-ES"/>
        </w:rPr>
        <w:tab/>
        <w:t xml:space="preserve">     ALEGACIONES</w:t>
      </w:r>
    </w:p>
    <w:p w:rsidR="009B6990" w:rsidRPr="00A42DF8" w:rsidRDefault="009B6990" w:rsidP="009B6990">
      <w:pPr>
        <w:pStyle w:val="Perdefecte"/>
        <w:tabs>
          <w:tab w:val="left" w:pos="3026"/>
        </w:tabs>
        <w:spacing w:line="360" w:lineRule="auto"/>
        <w:ind w:firstLine="708"/>
        <w:jc w:val="center"/>
        <w:rPr>
          <w:rFonts w:eastAsia="Times New Roman"/>
          <w:b/>
          <w:sz w:val="26"/>
          <w:szCs w:val="26"/>
          <w:lang w:val="es-ES_tradnl" w:eastAsia="es-ES"/>
        </w:rPr>
      </w:pPr>
    </w:p>
    <w:p w:rsidR="009B6990" w:rsidRPr="00A42DF8" w:rsidRDefault="009B6990" w:rsidP="009B6990">
      <w:pPr>
        <w:pStyle w:val="Perdefecte"/>
        <w:spacing w:line="360" w:lineRule="auto"/>
        <w:jc w:val="both"/>
        <w:rPr>
          <w:rFonts w:eastAsia="Times New Roman"/>
          <w:lang w:val="es-ES_tradnl" w:eastAsia="es-ES"/>
        </w:rPr>
      </w:pPr>
      <w:r w:rsidRPr="00A42DF8">
        <w:rPr>
          <w:rFonts w:eastAsia="Times New Roman"/>
          <w:b/>
          <w:u w:val="single"/>
          <w:lang w:val="es-ES_tradnl" w:eastAsia="es-ES"/>
        </w:rPr>
        <w:t>PRIMERO.- ANTECEDENTES</w:t>
      </w:r>
      <w:r w:rsidRPr="00A42DF8">
        <w:rPr>
          <w:rFonts w:eastAsia="Times New Roman"/>
          <w:lang w:val="es-ES_tradnl" w:eastAsia="es-ES"/>
        </w:rPr>
        <w:t xml:space="preserve"> Que recibida la diligencia de ordenación según lo peticionado por la actora, resulta claramente deducido que la pretensión de la actora </w:t>
      </w:r>
      <w:r w:rsidRPr="00A42DF8">
        <w:rPr>
          <w:rFonts w:eastAsia="Times New Roman"/>
          <w:b/>
          <w:u w:val="single"/>
          <w:lang w:val="es-ES_tradnl" w:eastAsia="es-ES"/>
        </w:rPr>
        <w:t>es que no se tenga conocimiento del lanzamiento del domicilio de mi representado</w:t>
      </w:r>
      <w:r w:rsidRPr="00A42DF8">
        <w:rPr>
          <w:rFonts w:eastAsia="Times New Roman"/>
          <w:lang w:val="es-ES_tradnl" w:eastAsia="es-ES"/>
        </w:rPr>
        <w:t>, solicitando por tanto “lanzamiento con fecha abierta”. Dicho señalamiento de un lanzamiento con fecha abierta e indeterminad</w:t>
      </w:r>
      <w:r w:rsidR="00CF2620">
        <w:rPr>
          <w:rFonts w:eastAsia="Times New Roman"/>
          <w:lang w:val="es-ES_tradnl" w:eastAsia="es-ES"/>
        </w:rPr>
        <w:t>a</w:t>
      </w:r>
      <w:r w:rsidRPr="00A42DF8">
        <w:rPr>
          <w:rFonts w:eastAsia="Times New Roman"/>
          <w:lang w:val="es-ES_tradnl" w:eastAsia="es-ES"/>
        </w:rPr>
        <w:t xml:space="preserve"> en el tiempo, tal y como ya ha asentado tanto la doctrina más rigurosa como la jurisprudencia más reciente, </w:t>
      </w:r>
      <w:r w:rsidRPr="00A42DF8">
        <w:rPr>
          <w:rFonts w:eastAsia="Times New Roman"/>
          <w:b/>
          <w:u w:val="single"/>
          <w:lang w:val="es-ES_tradnl" w:eastAsia="es-ES"/>
        </w:rPr>
        <w:t>supone una importante infracción y un flagrante atentado contra el principio de seguridad jurídica</w:t>
      </w:r>
      <w:r w:rsidR="007D50B6">
        <w:rPr>
          <w:rFonts w:eastAsia="Times New Roman"/>
          <w:lang w:val="es-ES_tradnl" w:eastAsia="es-ES"/>
        </w:rPr>
        <w:t xml:space="preserve"> </w:t>
      </w:r>
      <w:r w:rsidRPr="00A42DF8">
        <w:rPr>
          <w:rFonts w:eastAsia="Times New Roman"/>
          <w:lang w:val="es-ES_tradnl" w:eastAsia="es-ES"/>
        </w:rPr>
        <w:t xml:space="preserve">previsto en nuestro Ordenamiento </w:t>
      </w:r>
      <w:r w:rsidRPr="00A42DF8">
        <w:rPr>
          <w:rFonts w:eastAsia="Times New Roman"/>
          <w:lang w:val="es-ES_tradnl" w:eastAsia="es-ES"/>
        </w:rPr>
        <w:lastRenderedPageBreak/>
        <w:t xml:space="preserve">Jurídico, </w:t>
      </w:r>
      <w:r w:rsidRPr="00A42DF8">
        <w:rPr>
          <w:rFonts w:eastAsia="Times New Roman"/>
          <w:b/>
          <w:u w:val="single"/>
          <w:lang w:val="es-ES_tradnl" w:eastAsia="es-ES"/>
        </w:rPr>
        <w:t>comportando la práctica indefensión de mi mandante ante una Diligencia</w:t>
      </w:r>
      <w:r w:rsidRPr="00A42DF8">
        <w:rPr>
          <w:rFonts w:eastAsia="Times New Roman"/>
          <w:lang w:val="es-ES_tradnl" w:eastAsia="es-ES"/>
        </w:rPr>
        <w:t xml:space="preserve"> que contemplara la medida solicitada por la </w:t>
      </w:r>
      <w:r w:rsidR="007D50B6">
        <w:rPr>
          <w:rFonts w:eastAsia="Times New Roman"/>
          <w:lang w:val="es-ES_tradnl" w:eastAsia="es-ES"/>
        </w:rPr>
        <w:t xml:space="preserve">parte actora y hasta vulnerando </w:t>
      </w:r>
      <w:r w:rsidRPr="00A42DF8">
        <w:rPr>
          <w:rFonts w:eastAsia="Times New Roman"/>
          <w:lang w:val="es-ES_tradnl" w:eastAsia="es-ES"/>
        </w:rPr>
        <w:t xml:space="preserve">algún </w:t>
      </w:r>
      <w:proofErr w:type="spellStart"/>
      <w:r w:rsidRPr="00A42DF8">
        <w:rPr>
          <w:rFonts w:eastAsia="Times New Roman"/>
          <w:lang w:val="es-ES_tradnl" w:eastAsia="es-ES"/>
        </w:rPr>
        <w:t>qu</w:t>
      </w:r>
      <w:r w:rsidR="007D50B6">
        <w:rPr>
          <w:rFonts w:eastAsia="Times New Roman"/>
          <w:lang w:val="es-ES_tradnl" w:eastAsia="es-ES"/>
        </w:rPr>
        <w:t>é</w:t>
      </w:r>
      <w:proofErr w:type="spellEnd"/>
      <w:r w:rsidRPr="00A42DF8">
        <w:rPr>
          <w:rFonts w:eastAsia="Times New Roman"/>
          <w:lang w:val="es-ES_tradnl" w:eastAsia="es-ES"/>
        </w:rPr>
        <w:t xml:space="preserve"> otro derecho fundamental de mi representado y de su familia.</w:t>
      </w:r>
    </w:p>
    <w:p w:rsidR="009B6990" w:rsidRPr="00A42DF8" w:rsidRDefault="009B6990" w:rsidP="009B6990">
      <w:pPr>
        <w:pStyle w:val="Perdefecte"/>
        <w:spacing w:line="360" w:lineRule="auto"/>
        <w:jc w:val="both"/>
        <w:rPr>
          <w:rFonts w:eastAsia="Times New Roman"/>
          <w:b/>
          <w:lang w:val="es-ES_tradnl" w:eastAsia="es-ES"/>
        </w:rPr>
      </w:pPr>
    </w:p>
    <w:p w:rsidR="009B6990" w:rsidRPr="00A42DF8" w:rsidRDefault="009B6990" w:rsidP="009B6990">
      <w:pPr>
        <w:pStyle w:val="Perdefecte"/>
        <w:spacing w:line="360" w:lineRule="auto"/>
        <w:jc w:val="both"/>
        <w:rPr>
          <w:rFonts w:eastAsia="Times New Roman"/>
          <w:b/>
          <w:lang w:val="es-ES_tradnl" w:eastAsia="es-ES"/>
        </w:rPr>
      </w:pPr>
      <w:r w:rsidRPr="00A42DF8">
        <w:rPr>
          <w:rFonts w:eastAsia="Times New Roman"/>
          <w:b/>
          <w:u w:val="single"/>
          <w:lang w:val="es-ES_tradnl" w:eastAsia="es-ES"/>
        </w:rPr>
        <w:t>SEGUNDO.- DE LA DETERMINACIÓN Y LA CONCRECIÓN EN LAS ACTUACIONES JUDICIALES COMO REQUISITO LEGAL DE LAS MISMAS</w:t>
      </w:r>
      <w:r w:rsidRPr="00A42DF8">
        <w:rPr>
          <w:rFonts w:eastAsia="Times New Roman"/>
          <w:b/>
          <w:lang w:val="es-ES_tradnl" w:eastAsia="es-ES"/>
        </w:rPr>
        <w:t>:</w:t>
      </w:r>
    </w:p>
    <w:p w:rsidR="009B6990" w:rsidRPr="00A42DF8" w:rsidRDefault="009B6990" w:rsidP="009B6990">
      <w:pPr>
        <w:pStyle w:val="Perdefecte"/>
        <w:spacing w:line="360" w:lineRule="auto"/>
        <w:jc w:val="both"/>
        <w:rPr>
          <w:rFonts w:eastAsia="Times New Roman"/>
          <w:lang w:val="es-ES_tradnl" w:eastAsia="es-ES"/>
        </w:rPr>
      </w:pPr>
      <w:r w:rsidRPr="00A42DF8">
        <w:rPr>
          <w:rFonts w:eastAsia="Times New Roman"/>
          <w:lang w:val="es-ES_tradnl" w:eastAsia="es-ES"/>
        </w:rPr>
        <w:t xml:space="preserve">Las actuaciones judiciales no pueden establecer plazos indeterminados o “abiertos” para su </w:t>
      </w:r>
      <w:r w:rsidR="007D50B6">
        <w:rPr>
          <w:rFonts w:eastAsia="Times New Roman"/>
          <w:lang w:val="es-ES_tradnl" w:eastAsia="es-ES"/>
        </w:rPr>
        <w:t>realización, sin concretar cuá</w:t>
      </w:r>
      <w:r w:rsidRPr="00A42DF8">
        <w:rPr>
          <w:rFonts w:eastAsia="Times New Roman"/>
          <w:lang w:val="es-ES_tradnl" w:eastAsia="es-ES"/>
        </w:rPr>
        <w:t>ndo van a tener lugar, y menos aún aquellas que implican una afectación directa de una de las partes, tal y como es el caso que nos encontramos, en el que se trata de una diligencia de lanzamiento.</w:t>
      </w:r>
    </w:p>
    <w:p w:rsidR="009B6990" w:rsidRPr="00A42DF8" w:rsidRDefault="009B6990" w:rsidP="009B6990">
      <w:pPr>
        <w:pStyle w:val="Perdefecte"/>
        <w:spacing w:line="360" w:lineRule="auto"/>
        <w:jc w:val="both"/>
        <w:rPr>
          <w:rFonts w:eastAsia="Times New Roman"/>
          <w:lang w:val="es-ES_tradnl" w:eastAsia="es-ES"/>
        </w:rPr>
      </w:pPr>
      <w:r w:rsidRPr="00A42DF8">
        <w:rPr>
          <w:rFonts w:eastAsia="Times New Roman"/>
          <w:lang w:val="es-ES_tradnl" w:eastAsia="es-ES"/>
        </w:rPr>
        <w:t xml:space="preserve">Además, tal medida supone un incumplimiento de los requisitos previstos </w:t>
      </w:r>
      <w:r w:rsidR="007D50B6">
        <w:rPr>
          <w:rFonts w:eastAsia="Times New Roman"/>
          <w:lang w:val="es-ES_tradnl" w:eastAsia="es-ES"/>
        </w:rPr>
        <w:t xml:space="preserve">en </w:t>
      </w:r>
      <w:r w:rsidRPr="00A42DF8">
        <w:rPr>
          <w:rFonts w:eastAsia="Times New Roman"/>
          <w:lang w:val="es-ES_tradnl" w:eastAsia="es-ES"/>
        </w:rPr>
        <w:t xml:space="preserve">el artículo 440.4  de la LEC, el cual </w:t>
      </w:r>
      <w:r w:rsidRPr="00A42DF8">
        <w:rPr>
          <w:rFonts w:eastAsia="Times New Roman"/>
          <w:b/>
          <w:u w:val="single"/>
          <w:lang w:val="es-ES_tradnl" w:eastAsia="es-ES"/>
        </w:rPr>
        <w:t>obliga a fijar DÍA Y HORA del lanzamiento</w:t>
      </w:r>
      <w:r w:rsidRPr="00A42DF8">
        <w:rPr>
          <w:rFonts w:eastAsia="Times New Roman"/>
          <w:lang w:val="es-ES_tradnl" w:eastAsia="es-ES"/>
        </w:rPr>
        <w:t>, así se desprende de su redacción:</w:t>
      </w:r>
    </w:p>
    <w:p w:rsidR="009B6990" w:rsidRPr="00A42DF8" w:rsidRDefault="009B6990" w:rsidP="009B6990">
      <w:pPr>
        <w:pStyle w:val="Perdefecte"/>
        <w:spacing w:line="360" w:lineRule="auto"/>
        <w:ind w:left="567" w:right="849" w:firstLine="709"/>
        <w:jc w:val="both"/>
        <w:rPr>
          <w:rFonts w:asciiTheme="minorHAnsi" w:hAnsiTheme="minorHAnsi" w:cstheme="minorHAnsi"/>
          <w:i/>
          <w:color w:val="222222"/>
          <w:sz w:val="20"/>
          <w:szCs w:val="20"/>
          <w:shd w:val="clear" w:color="auto" w:fill="FFFFFF"/>
          <w:lang w:val="es-ES_tradnl"/>
        </w:rPr>
      </w:pPr>
      <w:r w:rsidRPr="00A42DF8">
        <w:rPr>
          <w:rFonts w:eastAsia="Times New Roman"/>
          <w:lang w:val="es-ES_tradnl" w:eastAsia="es-ES"/>
        </w:rPr>
        <w:tab/>
      </w:r>
      <w:r w:rsidRPr="00A42DF8">
        <w:rPr>
          <w:rFonts w:asciiTheme="minorHAnsi" w:hAnsiTheme="minorHAnsi" w:cstheme="minorHAnsi"/>
          <w:b/>
          <w:bCs/>
          <w:i/>
          <w:color w:val="222222"/>
          <w:sz w:val="20"/>
          <w:szCs w:val="20"/>
          <w:shd w:val="clear" w:color="auto" w:fill="FFFFFF"/>
          <w:lang w:val="es-ES_tradnl"/>
        </w:rPr>
        <w:t>4. </w:t>
      </w:r>
      <w:r w:rsidRPr="00A42DF8">
        <w:rPr>
          <w:rFonts w:asciiTheme="minorHAnsi" w:hAnsiTheme="minorHAnsi" w:cstheme="minorHAnsi"/>
          <w:i/>
          <w:color w:val="222222"/>
          <w:sz w:val="20"/>
          <w:szCs w:val="20"/>
          <w:shd w:val="clear" w:color="auto" w:fill="FFFFFF"/>
          <w:lang w:val="es-ES_tradnl"/>
        </w:rPr>
        <w:t xml:space="preserve">En </w:t>
      </w:r>
      <w:r w:rsidRPr="00A42DF8">
        <w:rPr>
          <w:rFonts w:asciiTheme="minorHAnsi" w:hAnsiTheme="minorHAnsi" w:cstheme="minorHAnsi"/>
          <w:b/>
          <w:i/>
          <w:color w:val="222222"/>
          <w:sz w:val="20"/>
          <w:szCs w:val="20"/>
          <w:u w:val="single"/>
          <w:shd w:val="clear" w:color="auto" w:fill="FFFFFF"/>
          <w:lang w:val="es-ES_tradnl"/>
        </w:rPr>
        <w:t>TODOS</w:t>
      </w:r>
      <w:r w:rsidRPr="00A42DF8">
        <w:rPr>
          <w:rFonts w:asciiTheme="minorHAnsi" w:hAnsiTheme="minorHAnsi" w:cstheme="minorHAnsi"/>
          <w:i/>
          <w:color w:val="222222"/>
          <w:sz w:val="20"/>
          <w:szCs w:val="20"/>
          <w:shd w:val="clear" w:color="auto" w:fill="FFFFFF"/>
          <w:lang w:val="es-ES_tradnl"/>
        </w:rPr>
        <w:t xml:space="preserve"> los casos de desahucio, también se apercibirá al demandado en el requerimiento que se le realice que, de no comparecer a la vista, se declarará el desahucio sin más trámites y que queda citado para recibir la notificación de la sentencia que se dicte el sexto día siguiente al señalado para la vista. </w:t>
      </w:r>
      <w:r w:rsidRPr="00A42DF8">
        <w:rPr>
          <w:rFonts w:asciiTheme="minorHAnsi" w:hAnsiTheme="minorHAnsi" w:cstheme="minorHAnsi"/>
          <w:b/>
          <w:i/>
          <w:color w:val="222222"/>
          <w:sz w:val="20"/>
          <w:szCs w:val="20"/>
          <w:u w:val="single"/>
          <w:shd w:val="clear" w:color="auto" w:fill="FFFFFF"/>
          <w:lang w:val="es-ES_tradnl"/>
        </w:rPr>
        <w:t>Igualmente, en la resolución que se dicte teniendo por opuesto al demandado se fijará DÍA Y HORA para que tenga lugar, en su caso, el lanzamiento,</w:t>
      </w:r>
      <w:r w:rsidRPr="00A42DF8">
        <w:rPr>
          <w:rFonts w:asciiTheme="minorHAnsi" w:hAnsiTheme="minorHAnsi" w:cstheme="minorHAnsi"/>
          <w:i/>
          <w:color w:val="222222"/>
          <w:sz w:val="20"/>
          <w:szCs w:val="20"/>
          <w:shd w:val="clear" w:color="auto" w:fill="FFFFFF"/>
          <w:lang w:val="es-ES_tradnl"/>
        </w:rPr>
        <w:t xml:space="preserve"> que deberá verificarse antes de treinta días desde la fecha señalada para la vista, advirtiendo al demandado que, si la sentencia fuese condenatoria y no se recurriera, se procederá al lanzamiento en la fecha fijada, sin necesidad de notificación posterior.</w:t>
      </w:r>
    </w:p>
    <w:p w:rsidR="009B6990" w:rsidRPr="00A42DF8" w:rsidRDefault="009B6990" w:rsidP="009B6990">
      <w:pPr>
        <w:pStyle w:val="Perdefecte"/>
        <w:spacing w:line="360" w:lineRule="auto"/>
        <w:ind w:left="567" w:right="849" w:firstLine="709"/>
        <w:jc w:val="both"/>
        <w:rPr>
          <w:rFonts w:asciiTheme="minorHAnsi" w:eastAsia="Times New Roman" w:hAnsiTheme="minorHAnsi" w:cstheme="minorHAnsi"/>
          <w:i/>
          <w:sz w:val="20"/>
          <w:szCs w:val="20"/>
          <w:lang w:val="es-ES_tradnl" w:eastAsia="es-ES"/>
        </w:rPr>
      </w:pPr>
    </w:p>
    <w:p w:rsidR="009B6990" w:rsidRPr="00A42DF8" w:rsidRDefault="009B6990" w:rsidP="009B6990">
      <w:pPr>
        <w:pStyle w:val="Perdefecte"/>
        <w:spacing w:line="360" w:lineRule="auto"/>
        <w:jc w:val="both"/>
        <w:rPr>
          <w:lang w:val="es-ES_tradnl"/>
        </w:rPr>
      </w:pPr>
      <w:r w:rsidRPr="00A42DF8">
        <w:rPr>
          <w:rFonts w:eastAsia="Times New Roman"/>
          <w:lang w:val="es-ES_tradnl" w:eastAsia="es-ES"/>
        </w:rPr>
        <w:t xml:space="preserve">Por lo tanto, </w:t>
      </w:r>
      <w:r w:rsidRPr="00A42DF8">
        <w:rPr>
          <w:rFonts w:eastAsia="Times New Roman"/>
          <w:i/>
          <w:lang w:val="es-ES_tradnl" w:eastAsia="es-ES"/>
        </w:rPr>
        <w:t>“a sensu contrario”</w:t>
      </w:r>
      <w:r w:rsidRPr="00A42DF8">
        <w:rPr>
          <w:rFonts w:eastAsia="Times New Roman"/>
          <w:lang w:val="es-ES_tradnl" w:eastAsia="es-ES"/>
        </w:rPr>
        <w:t xml:space="preserve">, se entiende que </w:t>
      </w:r>
      <w:r w:rsidRPr="00A42DF8">
        <w:rPr>
          <w:rFonts w:eastAsia="Times New Roman"/>
          <w:b/>
          <w:u w:val="single"/>
          <w:lang w:val="es-ES_tradnl" w:eastAsia="es-ES"/>
        </w:rPr>
        <w:t>no será válida aquella diligencia de lanzamiento</w:t>
      </w:r>
      <w:r w:rsidRPr="00A42DF8">
        <w:rPr>
          <w:b/>
          <w:u w:val="single"/>
          <w:lang w:val="es-ES_tradnl"/>
        </w:rPr>
        <w:t xml:space="preserve"> en la que no se determine dicho contenido (día y hora)</w:t>
      </w:r>
      <w:r w:rsidRPr="00A42DF8">
        <w:rPr>
          <w:lang w:val="es-ES_tradnl"/>
        </w:rPr>
        <w:t>, por lo que se viene a impugnar dicha diligencia que solicita una “fecha abierta” para el lanzamiento, método que vulnera los principios de las actuaciones judiciales, así como el principio de derecho de defensa de mi representado.</w:t>
      </w:r>
    </w:p>
    <w:p w:rsidR="009B6990" w:rsidRPr="00A42DF8" w:rsidRDefault="009B6990" w:rsidP="009B6990">
      <w:pPr>
        <w:pStyle w:val="Perdefecte"/>
        <w:spacing w:line="360" w:lineRule="auto"/>
        <w:jc w:val="both"/>
        <w:rPr>
          <w:lang w:val="es-ES_tradnl"/>
        </w:rPr>
      </w:pPr>
    </w:p>
    <w:p w:rsidR="009B6990" w:rsidRPr="00A42DF8" w:rsidRDefault="009B6990" w:rsidP="009B6990">
      <w:pPr>
        <w:pStyle w:val="Perdefecte"/>
        <w:spacing w:line="360" w:lineRule="auto"/>
        <w:jc w:val="both"/>
        <w:rPr>
          <w:rFonts w:eastAsia="Times New Roman"/>
          <w:lang w:val="es-ES_tradnl" w:eastAsia="es-ES"/>
        </w:rPr>
      </w:pPr>
      <w:r w:rsidRPr="00A42DF8">
        <w:rPr>
          <w:rFonts w:eastAsia="Times New Roman"/>
          <w:lang w:val="es-ES_tradnl" w:eastAsia="es-ES"/>
        </w:rPr>
        <w:lastRenderedPageBreak/>
        <w:t>En el mi</w:t>
      </w:r>
      <w:r w:rsidR="007D50B6">
        <w:rPr>
          <w:rFonts w:eastAsia="Times New Roman"/>
          <w:lang w:val="es-ES_tradnl" w:eastAsia="es-ES"/>
        </w:rPr>
        <w:t>smo orden de cosas, el artículo</w:t>
      </w:r>
      <w:r w:rsidRPr="00A42DF8">
        <w:rPr>
          <w:rFonts w:eastAsia="Times New Roman"/>
          <w:lang w:val="es-ES_tradnl" w:eastAsia="es-ES"/>
        </w:rPr>
        <w:t xml:space="preserve"> 703.4 del mismo cuerpo legal habla </w:t>
      </w:r>
      <w:r w:rsidR="007D50B6">
        <w:rPr>
          <w:rFonts w:eastAsia="Times New Roman"/>
          <w:lang w:val="es-ES_tradnl" w:eastAsia="es-ES"/>
        </w:rPr>
        <w:t xml:space="preserve">en todo momento </w:t>
      </w:r>
      <w:r w:rsidRPr="00A42DF8">
        <w:rPr>
          <w:rFonts w:eastAsia="Times New Roman"/>
          <w:lang w:val="es-ES_tradnl" w:eastAsia="es-ES"/>
        </w:rPr>
        <w:t xml:space="preserve">de la “fecha fijada para el lanzamiento”, deduciéndose por tanto que dicha diligencia </w:t>
      </w:r>
      <w:r w:rsidRPr="00A42DF8">
        <w:rPr>
          <w:rFonts w:eastAsia="Times New Roman"/>
          <w:b/>
          <w:u w:val="single"/>
          <w:lang w:val="es-ES_tradnl" w:eastAsia="es-ES"/>
        </w:rPr>
        <w:t>debe determinar específicamente el DÍA Y LA HORA</w:t>
      </w:r>
      <w:r w:rsidRPr="00A42DF8">
        <w:rPr>
          <w:rFonts w:eastAsia="Times New Roman"/>
          <w:lang w:val="es-ES_tradnl" w:eastAsia="es-ES"/>
        </w:rPr>
        <w:t xml:space="preserve"> de la actuación judi</w:t>
      </w:r>
      <w:r w:rsidR="007D50B6">
        <w:rPr>
          <w:rFonts w:eastAsia="Times New Roman"/>
          <w:lang w:val="es-ES_tradnl" w:eastAsia="es-ES"/>
        </w:rPr>
        <w:t>cial, siendo por tanto contraria</w:t>
      </w:r>
      <w:r w:rsidRPr="00A42DF8">
        <w:rPr>
          <w:rFonts w:eastAsia="Times New Roman"/>
          <w:lang w:val="es-ES_tradnl" w:eastAsia="es-ES"/>
        </w:rPr>
        <w:t xml:space="preserve"> a Derecho la indeterminación de la realización de dicha diligencia judicial de lanzamiento. Por ello, se impugna la diligencia que solicita tales términos imprecisos al SAC</w:t>
      </w:r>
      <w:r w:rsidR="00DD5187">
        <w:rPr>
          <w:rFonts w:eastAsia="Times New Roman"/>
          <w:lang w:val="es-ES_tradnl" w:eastAsia="es-ES"/>
        </w:rPr>
        <w:t>C</w:t>
      </w:r>
      <w:r w:rsidRPr="00A42DF8">
        <w:rPr>
          <w:rFonts w:eastAsia="Times New Roman"/>
          <w:lang w:val="es-ES_tradnl" w:eastAsia="es-ES"/>
        </w:rPr>
        <w:t>.</w:t>
      </w:r>
    </w:p>
    <w:p w:rsidR="009B6990" w:rsidRPr="00A42DF8" w:rsidRDefault="009B6990" w:rsidP="009B6990">
      <w:pPr>
        <w:pStyle w:val="Perdefecte"/>
        <w:spacing w:line="360" w:lineRule="auto"/>
        <w:jc w:val="both"/>
        <w:rPr>
          <w:rFonts w:eastAsia="Times New Roman"/>
          <w:lang w:val="es-ES_tradnl" w:eastAsia="es-ES"/>
        </w:rPr>
      </w:pPr>
    </w:p>
    <w:p w:rsidR="009B6990" w:rsidRPr="00A42DF8" w:rsidRDefault="009B6990" w:rsidP="009B6990">
      <w:pPr>
        <w:pStyle w:val="Perdefecte"/>
        <w:spacing w:line="360" w:lineRule="auto"/>
        <w:jc w:val="both"/>
        <w:rPr>
          <w:b/>
          <w:u w:val="single"/>
          <w:lang w:val="es-ES_tradnl"/>
        </w:rPr>
      </w:pPr>
      <w:r w:rsidRPr="00A42DF8">
        <w:rPr>
          <w:rFonts w:eastAsia="Times New Roman"/>
          <w:b/>
          <w:u w:val="single"/>
          <w:lang w:val="es-ES_tradnl" w:eastAsia="es-ES"/>
        </w:rPr>
        <w:t>TERCERO.-</w:t>
      </w:r>
      <w:r w:rsidRPr="00A42DF8">
        <w:rPr>
          <w:rFonts w:eastAsia="Times New Roman"/>
          <w:u w:val="single"/>
          <w:lang w:val="es-ES_tradnl" w:eastAsia="es-ES"/>
        </w:rPr>
        <w:t xml:space="preserve"> </w:t>
      </w:r>
      <w:r w:rsidRPr="00A42DF8">
        <w:rPr>
          <w:rFonts w:eastAsia="Times New Roman"/>
          <w:b/>
          <w:u w:val="single"/>
          <w:lang w:val="es-ES_tradnl" w:eastAsia="es-ES"/>
        </w:rPr>
        <w:t>DEL DERECHO A DEFENSA Y  LA INVIOLABILIDAD DEL DOMICILIO</w:t>
      </w:r>
    </w:p>
    <w:p w:rsidR="009B6990" w:rsidRPr="00A42DF8" w:rsidRDefault="009B6990" w:rsidP="009B6990">
      <w:pPr>
        <w:pStyle w:val="Perdefecte"/>
        <w:shd w:val="clear" w:color="auto" w:fill="FFFFFF"/>
        <w:spacing w:line="360" w:lineRule="auto"/>
        <w:jc w:val="both"/>
        <w:rPr>
          <w:lang w:val="es-ES_tradnl"/>
        </w:rPr>
      </w:pPr>
      <w:r w:rsidRPr="00A42DF8">
        <w:rPr>
          <w:lang w:val="es-ES_tradnl"/>
        </w:rPr>
        <w:t xml:space="preserve">A tenor de lo expuesto anteriormente, cabe recordar que dicha resolución provocaría una </w:t>
      </w:r>
      <w:r w:rsidRPr="00A42DF8">
        <w:rPr>
          <w:b/>
          <w:u w:val="single"/>
          <w:lang w:val="es-ES_tradnl"/>
        </w:rPr>
        <w:t>grave indefensión a mi representado</w:t>
      </w:r>
      <w:r w:rsidRPr="00A42DF8">
        <w:rPr>
          <w:lang w:val="es-ES_tradnl"/>
        </w:rPr>
        <w:t xml:space="preserve">, por lo que resultaría una vulneración del artículo 24 de la Constitución Española, ya que </w:t>
      </w:r>
      <w:r w:rsidRPr="00A42DF8">
        <w:rPr>
          <w:b/>
          <w:u w:val="single"/>
          <w:lang w:val="es-ES_tradnl"/>
        </w:rPr>
        <w:t>nos encontraríamos en el supuesto de la realización de una actuación judicial en su propio domicilio</w:t>
      </w:r>
      <w:r w:rsidRPr="00A42DF8">
        <w:rPr>
          <w:u w:val="single"/>
          <w:lang w:val="es-ES_tradnl"/>
        </w:rPr>
        <w:t xml:space="preserve"> </w:t>
      </w:r>
      <w:r w:rsidRPr="00A42DF8">
        <w:rPr>
          <w:b/>
          <w:u w:val="single"/>
          <w:lang w:val="es-ES_tradnl"/>
        </w:rPr>
        <w:t>sin el conocer cuándo va a tener lugar la misma</w:t>
      </w:r>
      <w:r w:rsidRPr="00A42DF8">
        <w:rPr>
          <w:lang w:val="es-ES_tradnl"/>
        </w:rPr>
        <w:t xml:space="preserve">, todo ello con una clara finalidad sorpresiva, para nada legal ni garantista, que vulnera cualquier garantía constitucional que rige el pleno de las disposiciones legales de nuestro ordenamiento. Lo mismo sucede en como en cuanto a la inviolabilidad del domicilio fijada en el artículo 18 del mismo texto legal, el cual quedaría totalmente vulnerado si llega a tener lugar dicha diligencia en el que a día de hoy </w:t>
      </w:r>
      <w:r w:rsidRPr="00A42DF8">
        <w:rPr>
          <w:b/>
          <w:u w:val="single"/>
          <w:lang w:val="es-ES_tradnl"/>
        </w:rPr>
        <w:t>es su domicilio</w:t>
      </w:r>
      <w:r w:rsidRPr="00A42DF8">
        <w:rPr>
          <w:lang w:val="es-ES_tradnl"/>
        </w:rPr>
        <w:t>, el cual constituye su morada, y que por tanto es objeto de protección constitucional.</w:t>
      </w:r>
    </w:p>
    <w:p w:rsidR="009B6990" w:rsidRPr="00A42DF8" w:rsidRDefault="009B6990" w:rsidP="009B6990">
      <w:pPr>
        <w:pStyle w:val="Ttulo5"/>
        <w:spacing w:before="240" w:after="144"/>
        <w:ind w:left="851" w:hanging="284"/>
        <w:jc w:val="both"/>
        <w:rPr>
          <w:rFonts w:ascii="Arial" w:hAnsi="Arial" w:cs="Arial"/>
          <w:i/>
          <w:color w:val="6A0023"/>
          <w:lang w:val="es-ES_tradnl"/>
        </w:rPr>
      </w:pPr>
      <w:r w:rsidRPr="00A42DF8">
        <w:rPr>
          <w:rFonts w:ascii="Arial" w:hAnsi="Arial" w:cs="Arial"/>
          <w:i/>
          <w:color w:val="6A0023"/>
          <w:lang w:val="es-ES_tradnl"/>
        </w:rPr>
        <w:t>Artículo 24</w:t>
      </w:r>
    </w:p>
    <w:p w:rsidR="009B6990" w:rsidRPr="00A42DF8" w:rsidRDefault="009B6990" w:rsidP="009B6990">
      <w:pPr>
        <w:pStyle w:val="NormalWeb"/>
        <w:numPr>
          <w:ilvl w:val="1"/>
          <w:numId w:val="3"/>
        </w:numPr>
        <w:ind w:left="851" w:hanging="284"/>
        <w:jc w:val="both"/>
        <w:rPr>
          <w:rFonts w:ascii="Arial" w:hAnsi="Arial" w:cs="Arial"/>
          <w:i/>
          <w:color w:val="000000"/>
          <w:sz w:val="19"/>
          <w:szCs w:val="19"/>
          <w:lang w:val="es-ES_tradnl"/>
        </w:rPr>
      </w:pPr>
      <w:r w:rsidRPr="00A42DF8">
        <w:rPr>
          <w:rFonts w:ascii="Arial" w:hAnsi="Arial" w:cs="Arial"/>
          <w:i/>
          <w:color w:val="000000"/>
          <w:sz w:val="19"/>
          <w:szCs w:val="19"/>
          <w:lang w:val="es-ES_tradnl"/>
        </w:rPr>
        <w:t xml:space="preserve">Todas las personas tienen derecho a obtener la </w:t>
      </w:r>
      <w:r w:rsidRPr="00A42DF8">
        <w:rPr>
          <w:rFonts w:ascii="Arial" w:hAnsi="Arial" w:cs="Arial"/>
          <w:b/>
          <w:i/>
          <w:color w:val="000000"/>
          <w:sz w:val="19"/>
          <w:szCs w:val="19"/>
          <w:u w:val="single"/>
          <w:lang w:val="es-ES_tradnl"/>
        </w:rPr>
        <w:t>tutela efectiva de los jueces y tribunales en el ejercicio de sus derechos e intereses legítimos, sin que, en ningún caso, pueda producirse indefensión.</w:t>
      </w:r>
    </w:p>
    <w:p w:rsidR="009B6990" w:rsidRPr="00A42DF8" w:rsidRDefault="009B6990" w:rsidP="009B6990">
      <w:pPr>
        <w:pStyle w:val="NormalWeb"/>
        <w:numPr>
          <w:ilvl w:val="1"/>
          <w:numId w:val="3"/>
        </w:numPr>
        <w:ind w:left="851" w:hanging="284"/>
        <w:jc w:val="both"/>
        <w:rPr>
          <w:rFonts w:ascii="Arial" w:hAnsi="Arial" w:cs="Arial"/>
          <w:i/>
          <w:color w:val="000000"/>
          <w:sz w:val="19"/>
          <w:szCs w:val="19"/>
          <w:lang w:val="es-ES_tradnl"/>
        </w:rPr>
      </w:pPr>
      <w:r w:rsidRPr="00A42DF8">
        <w:rPr>
          <w:rFonts w:ascii="Arial" w:hAnsi="Arial" w:cs="Arial"/>
          <w:i/>
          <w:color w:val="000000"/>
          <w:sz w:val="19"/>
          <w:szCs w:val="19"/>
          <w:lang w:val="es-ES_tradnl"/>
        </w:rPr>
        <w:t>Asimismo, todos tienen derecho al Juez ordinario predeterminado por la ley, a la defensa y a la asistencia de letrado, a ser informados de la acusación formulada contra ellos, a un proceso público sin dilaciones indebidas y con todas las garantías, a utilizar los medios de prueba pertinentes para su defensa, a no declarar contra sí mismos, a no confesarse culpables y a la presunción de inocencia.</w:t>
      </w:r>
      <w:r w:rsidRPr="00A42DF8">
        <w:rPr>
          <w:rFonts w:ascii="Arial" w:hAnsi="Arial" w:cs="Arial"/>
          <w:i/>
          <w:color w:val="000000"/>
          <w:sz w:val="19"/>
          <w:szCs w:val="19"/>
          <w:lang w:val="es-ES_tradnl"/>
        </w:rPr>
        <w:br/>
        <w:t>La ley regulará los casos en que, por razón de parentesco o de secreto profesional, no se estará obligado a declarar sobre hechos presuntamente delictivos.</w:t>
      </w:r>
    </w:p>
    <w:p w:rsidR="009B6990" w:rsidRPr="00A42DF8" w:rsidRDefault="009B6990" w:rsidP="009B6990">
      <w:pPr>
        <w:pStyle w:val="NormalWeb"/>
        <w:ind w:left="851"/>
        <w:jc w:val="both"/>
        <w:rPr>
          <w:rFonts w:ascii="Arial" w:hAnsi="Arial" w:cs="Arial"/>
          <w:i/>
          <w:color w:val="000000"/>
          <w:sz w:val="19"/>
          <w:szCs w:val="19"/>
          <w:lang w:val="es-ES_tradnl"/>
        </w:rPr>
      </w:pPr>
    </w:p>
    <w:p w:rsidR="009B6990" w:rsidRPr="00A42DF8" w:rsidRDefault="009B6990" w:rsidP="009B6990">
      <w:pPr>
        <w:pStyle w:val="Ttulo5"/>
        <w:spacing w:before="240" w:after="144"/>
        <w:ind w:left="851" w:hanging="284"/>
        <w:jc w:val="both"/>
        <w:rPr>
          <w:rFonts w:ascii="Arial" w:hAnsi="Arial" w:cs="Arial"/>
          <w:i/>
          <w:color w:val="6A0023"/>
          <w:lang w:val="es-ES_tradnl"/>
        </w:rPr>
      </w:pPr>
      <w:r w:rsidRPr="00A42DF8">
        <w:rPr>
          <w:rFonts w:ascii="Arial" w:hAnsi="Arial" w:cs="Arial"/>
          <w:i/>
          <w:color w:val="6A0023"/>
          <w:lang w:val="es-ES_tradnl"/>
        </w:rPr>
        <w:t>Artículo 18</w:t>
      </w:r>
    </w:p>
    <w:p w:rsidR="009B6990" w:rsidRPr="00A42DF8" w:rsidRDefault="009B6990" w:rsidP="009B6990">
      <w:pPr>
        <w:pStyle w:val="NormalWeb"/>
        <w:numPr>
          <w:ilvl w:val="1"/>
          <w:numId w:val="2"/>
        </w:numPr>
        <w:ind w:left="851" w:hanging="284"/>
        <w:jc w:val="both"/>
        <w:rPr>
          <w:rFonts w:ascii="Arial" w:hAnsi="Arial" w:cs="Arial"/>
          <w:i/>
          <w:color w:val="000000"/>
          <w:sz w:val="19"/>
          <w:szCs w:val="19"/>
          <w:lang w:val="es-ES_tradnl"/>
        </w:rPr>
      </w:pPr>
      <w:r w:rsidRPr="00A42DF8">
        <w:rPr>
          <w:rFonts w:ascii="Arial" w:hAnsi="Arial" w:cs="Arial"/>
          <w:i/>
          <w:color w:val="000000"/>
          <w:sz w:val="19"/>
          <w:szCs w:val="19"/>
          <w:lang w:val="es-ES_tradnl"/>
        </w:rPr>
        <w:t>Se garantiza el derecho al honor, a la intimidad personal y familiar y a la propia imagen.</w:t>
      </w:r>
    </w:p>
    <w:p w:rsidR="009B6990" w:rsidRPr="00A42DF8" w:rsidRDefault="009B6990" w:rsidP="009B6990">
      <w:pPr>
        <w:pStyle w:val="NormalWeb"/>
        <w:numPr>
          <w:ilvl w:val="1"/>
          <w:numId w:val="2"/>
        </w:numPr>
        <w:ind w:left="851" w:hanging="284"/>
        <w:jc w:val="both"/>
        <w:rPr>
          <w:rFonts w:ascii="Arial" w:hAnsi="Arial" w:cs="Arial"/>
          <w:i/>
          <w:color w:val="000000"/>
          <w:sz w:val="19"/>
          <w:szCs w:val="19"/>
          <w:lang w:val="es-ES_tradnl"/>
        </w:rPr>
      </w:pPr>
      <w:r w:rsidRPr="00A42DF8">
        <w:rPr>
          <w:rFonts w:ascii="Arial" w:hAnsi="Arial" w:cs="Arial"/>
          <w:b/>
          <w:i/>
          <w:color w:val="000000"/>
          <w:sz w:val="19"/>
          <w:szCs w:val="19"/>
          <w:u w:val="single"/>
          <w:lang w:val="es-ES_tradnl"/>
        </w:rPr>
        <w:t>El domicilio es inviolable</w:t>
      </w:r>
      <w:r w:rsidRPr="00A42DF8">
        <w:rPr>
          <w:rFonts w:ascii="Arial" w:hAnsi="Arial" w:cs="Arial"/>
          <w:i/>
          <w:color w:val="000000"/>
          <w:sz w:val="19"/>
          <w:szCs w:val="19"/>
          <w:lang w:val="es-ES_tradnl"/>
        </w:rPr>
        <w:t>. Ninguna entrada o registro podrá hacerse en él sin consentimiento del titular o resolución judicial, salvo en caso de flagrante delito.</w:t>
      </w:r>
    </w:p>
    <w:p w:rsidR="009B6990" w:rsidRPr="00A42DF8" w:rsidRDefault="009B6990" w:rsidP="009B6990">
      <w:pPr>
        <w:pStyle w:val="Perdefecte"/>
        <w:shd w:val="clear" w:color="auto" w:fill="FFFFFF"/>
        <w:spacing w:line="360" w:lineRule="auto"/>
        <w:rPr>
          <w:lang w:val="es-ES_tradnl"/>
        </w:rPr>
      </w:pPr>
    </w:p>
    <w:p w:rsidR="009B6990" w:rsidRPr="00A42DF8" w:rsidRDefault="009B6990" w:rsidP="009B6990">
      <w:pPr>
        <w:pStyle w:val="Ttulo2"/>
        <w:numPr>
          <w:ilvl w:val="1"/>
          <w:numId w:val="1"/>
        </w:numPr>
        <w:spacing w:line="360" w:lineRule="auto"/>
        <w:rPr>
          <w:rFonts w:ascii="Calibri" w:hAnsi="Calibri"/>
          <w:sz w:val="22"/>
          <w:szCs w:val="22"/>
          <w:lang w:val="es-ES_tradnl"/>
        </w:rPr>
      </w:pPr>
    </w:p>
    <w:p w:rsidR="009B6990" w:rsidRPr="00A42DF8" w:rsidRDefault="009B6990" w:rsidP="009B6990">
      <w:pPr>
        <w:pStyle w:val="Perdefecte"/>
        <w:spacing w:line="360" w:lineRule="auto"/>
        <w:ind w:firstLine="708"/>
        <w:jc w:val="both"/>
        <w:rPr>
          <w:b/>
          <w:bCs/>
          <w:lang w:val="es-ES_tradnl"/>
        </w:rPr>
      </w:pPr>
      <w:r w:rsidRPr="00A42DF8">
        <w:rPr>
          <w:lang w:val="es-ES_tradnl"/>
        </w:rPr>
        <w:t xml:space="preserve">En su virtud, </w:t>
      </w:r>
    </w:p>
    <w:p w:rsidR="009B6990" w:rsidRPr="00A42DF8" w:rsidRDefault="009B6990" w:rsidP="009B6990">
      <w:pPr>
        <w:pStyle w:val="Perdefecte"/>
        <w:spacing w:line="360" w:lineRule="auto"/>
        <w:ind w:firstLine="708"/>
        <w:jc w:val="both"/>
        <w:rPr>
          <w:lang w:val="es-ES_tradnl"/>
        </w:rPr>
      </w:pPr>
      <w:r w:rsidRPr="00A42DF8">
        <w:rPr>
          <w:b/>
          <w:bCs/>
          <w:lang w:val="es-ES_tradnl"/>
        </w:rPr>
        <w:t xml:space="preserve">AL JUZGADO </w:t>
      </w:r>
      <w:r w:rsidR="00EA06FB">
        <w:rPr>
          <w:b/>
          <w:bCs/>
          <w:lang w:val="es-ES_tradnl"/>
        </w:rPr>
        <w:t>SOLICITO</w:t>
      </w:r>
      <w:r w:rsidRPr="00A42DF8">
        <w:rPr>
          <w:b/>
          <w:bCs/>
          <w:lang w:val="es-ES_tradnl"/>
        </w:rPr>
        <w:t xml:space="preserve">: </w:t>
      </w:r>
      <w:r w:rsidRPr="00A42DF8">
        <w:rPr>
          <w:lang w:val="es-ES_tradnl"/>
        </w:rPr>
        <w:t xml:space="preserve">Que teniendo por presentado este escrito con las manifestaciones en él contenidas, se sirva admitirlo, lo una a los autos de su razón y en sus méritos tenga por formulado </w:t>
      </w:r>
      <w:r w:rsidR="00EA06FB">
        <w:rPr>
          <w:b/>
          <w:u w:val="single" w:color="000000"/>
          <w:lang w:val="es-ES_tradnl"/>
        </w:rPr>
        <w:t>RECURSO DE REPOSICIÓ</w:t>
      </w:r>
      <w:r w:rsidRPr="00A42DF8">
        <w:rPr>
          <w:b/>
          <w:u w:val="single" w:color="000000"/>
          <w:lang w:val="es-ES_tradnl"/>
        </w:rPr>
        <w:t>N</w:t>
      </w:r>
      <w:r w:rsidRPr="00A42DF8">
        <w:rPr>
          <w:lang w:val="es-ES_tradnl"/>
        </w:rPr>
        <w:t xml:space="preserve"> contra diligencia de ordenación de fecha </w:t>
      </w:r>
      <w:r w:rsidR="00CF2620">
        <w:rPr>
          <w:lang w:val="es-ES_tradnl"/>
        </w:rPr>
        <w:t>**</w:t>
      </w:r>
      <w:r w:rsidRPr="00A42DF8">
        <w:rPr>
          <w:lang w:val="es-ES_tradnl"/>
        </w:rPr>
        <w:t xml:space="preserve"> de </w:t>
      </w:r>
      <w:r w:rsidR="00CF2620">
        <w:rPr>
          <w:lang w:val="es-ES_tradnl"/>
        </w:rPr>
        <w:t>******</w:t>
      </w:r>
      <w:r w:rsidRPr="00A42DF8">
        <w:rPr>
          <w:lang w:val="es-ES_tradnl"/>
        </w:rPr>
        <w:t xml:space="preserve"> de 20</w:t>
      </w:r>
      <w:r w:rsidR="00CF2620">
        <w:rPr>
          <w:lang w:val="es-ES_tradnl"/>
        </w:rPr>
        <w:t>**</w:t>
      </w:r>
      <w:r w:rsidRPr="00A42DF8">
        <w:rPr>
          <w:rFonts w:eastAsia="Times New Roman"/>
          <w:lang w:val="es-ES_tradnl" w:eastAsia="es-ES"/>
        </w:rPr>
        <w:t xml:space="preserve"> por los motivos anteriormente expuestos, interesando la no tramitación de la misma en los términos expuestos y que </w:t>
      </w:r>
      <w:r w:rsidRPr="00A42DF8">
        <w:rPr>
          <w:rFonts w:eastAsia="Times New Roman"/>
          <w:b/>
          <w:u w:val="single"/>
          <w:lang w:val="es-ES_tradnl" w:eastAsia="es-ES"/>
        </w:rPr>
        <w:t>NO SE OTORGUE POR EL SACC FECHA DE LANZAMIENTO EN LOS TÉRMINOS PETICIONADOS (ES DECIR, “CON FECHA ABIERTA”)</w:t>
      </w:r>
      <w:r w:rsidRPr="00A42DF8">
        <w:rPr>
          <w:rFonts w:eastAsia="Times New Roman"/>
          <w:lang w:val="es-ES_tradnl" w:eastAsia="es-ES"/>
        </w:rPr>
        <w:t>, pues se debe fijar una fecha y hora cerrada de lanzamiento, y notificarse la misma al demandado, de lo contrario se produciría una evidente indefensión de mi representado y una grave infracción de la seguridad jurídica y de las garantías que deben revestir toda actuación judicial.</w:t>
      </w:r>
    </w:p>
    <w:p w:rsidR="009B6990" w:rsidRPr="00A42DF8" w:rsidRDefault="009B6990" w:rsidP="009B6990">
      <w:pPr>
        <w:pStyle w:val="Perdefecte"/>
        <w:spacing w:line="360" w:lineRule="auto"/>
        <w:ind w:firstLine="708"/>
        <w:jc w:val="both"/>
        <w:rPr>
          <w:lang w:val="es-ES_tradnl"/>
        </w:rPr>
      </w:pPr>
    </w:p>
    <w:p w:rsidR="009B6990" w:rsidRPr="00A42DF8" w:rsidRDefault="009B6990" w:rsidP="009B6990">
      <w:pPr>
        <w:pStyle w:val="Perdefecte"/>
        <w:spacing w:line="360" w:lineRule="auto"/>
        <w:ind w:firstLine="708"/>
        <w:jc w:val="both"/>
        <w:rPr>
          <w:lang w:val="es-ES_tradnl"/>
        </w:rPr>
      </w:pPr>
      <w:r w:rsidRPr="00A42DF8">
        <w:rPr>
          <w:lang w:val="es-ES_tradnl"/>
        </w:rPr>
        <w:t>Es todo ello justicia que pido en</w:t>
      </w:r>
      <w:r w:rsidR="00CF2620">
        <w:rPr>
          <w:lang w:val="es-ES_tradnl"/>
        </w:rPr>
        <w:t xml:space="preserve"> *******</w:t>
      </w:r>
      <w:r w:rsidRPr="00A42DF8">
        <w:rPr>
          <w:lang w:val="es-ES_tradnl"/>
        </w:rPr>
        <w:t xml:space="preserve">, a </w:t>
      </w:r>
      <w:r w:rsidR="00CF2620">
        <w:rPr>
          <w:lang w:val="es-ES_tradnl"/>
        </w:rPr>
        <w:t>**</w:t>
      </w:r>
      <w:r w:rsidRPr="00A42DF8">
        <w:rPr>
          <w:lang w:val="es-ES_tradnl"/>
        </w:rPr>
        <w:t xml:space="preserve"> de </w:t>
      </w:r>
      <w:r w:rsidR="00CF2620">
        <w:rPr>
          <w:lang w:val="es-ES_tradnl"/>
        </w:rPr>
        <w:t>******</w:t>
      </w:r>
      <w:r w:rsidRPr="00A42DF8">
        <w:rPr>
          <w:lang w:val="es-ES_tradnl"/>
        </w:rPr>
        <w:t xml:space="preserve"> de 20</w:t>
      </w:r>
      <w:r w:rsidR="00CF2620">
        <w:rPr>
          <w:lang w:val="es-ES_tradnl"/>
        </w:rPr>
        <w:t>**</w:t>
      </w:r>
      <w:r w:rsidRPr="00A42DF8">
        <w:rPr>
          <w:lang w:val="es-ES_tradnl"/>
        </w:rPr>
        <w:t xml:space="preserve">. </w:t>
      </w:r>
    </w:p>
    <w:p w:rsidR="009B6990" w:rsidRPr="00A42DF8" w:rsidRDefault="009B6990" w:rsidP="009B6990">
      <w:pPr>
        <w:pStyle w:val="Perdefecte"/>
        <w:spacing w:line="360" w:lineRule="auto"/>
        <w:jc w:val="both"/>
        <w:rPr>
          <w:lang w:val="es-ES_tradnl"/>
        </w:rPr>
      </w:pPr>
    </w:p>
    <w:p w:rsidR="009B6990" w:rsidRPr="00A42DF8" w:rsidRDefault="009B6990" w:rsidP="009B6990">
      <w:pPr>
        <w:pStyle w:val="Textoindependiente31"/>
        <w:ind w:firstLine="708"/>
        <w:rPr>
          <w:rFonts w:ascii="Calibri" w:hAnsi="Calibri"/>
          <w:sz w:val="22"/>
          <w:szCs w:val="22"/>
          <w:lang w:val="es-ES_tradnl"/>
        </w:rPr>
      </w:pPr>
    </w:p>
    <w:p w:rsidR="009B6990" w:rsidRPr="00A42DF8" w:rsidRDefault="009B6990" w:rsidP="009B6990">
      <w:pPr>
        <w:pStyle w:val="Perdefecte"/>
        <w:spacing w:line="240" w:lineRule="exact"/>
        <w:jc w:val="both"/>
        <w:rPr>
          <w:lang w:val="es-ES_tradnl"/>
        </w:rPr>
      </w:pPr>
    </w:p>
    <w:p w:rsidR="009B6990" w:rsidRPr="00A42DF8" w:rsidRDefault="009B6990" w:rsidP="009B6990">
      <w:pPr>
        <w:pStyle w:val="Perdefecte"/>
        <w:spacing w:line="240" w:lineRule="exact"/>
        <w:jc w:val="both"/>
        <w:rPr>
          <w:lang w:val="es-ES_tradnl"/>
        </w:rPr>
      </w:pPr>
    </w:p>
    <w:p w:rsidR="009B6990" w:rsidRPr="00A42DF8" w:rsidRDefault="009B6990" w:rsidP="009B6990">
      <w:pPr>
        <w:rPr>
          <w:lang w:val="es-ES_tradnl"/>
        </w:rPr>
      </w:pPr>
    </w:p>
    <w:p w:rsidR="00147EE9" w:rsidRPr="009B6990" w:rsidRDefault="00147EE9">
      <w:pPr>
        <w:rPr>
          <w:lang w:val="es-ES_tradnl"/>
        </w:rPr>
      </w:pPr>
    </w:p>
    <w:sectPr w:rsidR="00147EE9" w:rsidRPr="009B6990" w:rsidSect="00CE14C4">
      <w:footerReference w:type="default" r:id="rId7"/>
      <w:footerReference w:type="first" r:id="rId8"/>
      <w:pgSz w:w="11906" w:h="16838"/>
      <w:pgMar w:top="1417" w:right="2125" w:bottom="1417" w:left="1701" w:header="720" w:footer="283" w:gutter="0"/>
      <w:cols w:space="720"/>
      <w:docGrid w:linePitch="22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70" w:rsidRDefault="00165370">
      <w:r>
        <w:separator/>
      </w:r>
    </w:p>
  </w:endnote>
  <w:endnote w:type="continuationSeparator" w:id="0">
    <w:p w:rsidR="00165370" w:rsidRDefault="0016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WenQuanYi Zen Hei Sharp">
    <w:charset w:val="01"/>
    <w:family w:val="auto"/>
    <w:pitch w:val="variable"/>
  </w:font>
  <w:font w:name="Lohit Devanagari">
    <w:altName w:val="Times New Roman"/>
    <w:charset w:val="01"/>
    <w:family w:val="auto"/>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0E" w:rsidRDefault="001C3C5C">
    <w:pPr>
      <w:pStyle w:val="Piedepgina"/>
      <w:spacing w:line="276" w:lineRule="auto"/>
      <w:jc w:val="right"/>
      <w:rPr>
        <w:color w:val="000000"/>
      </w:rPr>
    </w:pPr>
    <w:r>
      <w:fldChar w:fldCharType="begin"/>
    </w:r>
    <w:r>
      <w:instrText xml:space="preserve"> PAGE </w:instrText>
    </w:r>
    <w:r>
      <w:fldChar w:fldCharType="separate"/>
    </w:r>
    <w:r w:rsidR="00E80488">
      <w:rPr>
        <w:noProof/>
      </w:rPr>
      <w:t>4</w:t>
    </w:r>
    <w:r>
      <w:fldChar w:fldCharType="end"/>
    </w:r>
  </w:p>
  <w:p w:rsidR="003A610E" w:rsidRDefault="00165370">
    <w:pPr>
      <w:pStyle w:val="Piedepgina"/>
      <w:spacing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0E" w:rsidRDefault="001653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70" w:rsidRDefault="00165370">
      <w:r>
        <w:separator/>
      </w:r>
    </w:p>
  </w:footnote>
  <w:footnote w:type="continuationSeparator" w:id="0">
    <w:p w:rsidR="00165370" w:rsidRDefault="00165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14716896"/>
    <w:multiLevelType w:val="multilevel"/>
    <w:tmpl w:val="40987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CD606D"/>
    <w:multiLevelType w:val="multilevel"/>
    <w:tmpl w:val="F5C2A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90"/>
    <w:rsid w:val="00147EE9"/>
    <w:rsid w:val="00165370"/>
    <w:rsid w:val="001C3C5C"/>
    <w:rsid w:val="007D50B6"/>
    <w:rsid w:val="00971CD4"/>
    <w:rsid w:val="009B6990"/>
    <w:rsid w:val="00BB0D90"/>
    <w:rsid w:val="00C60685"/>
    <w:rsid w:val="00CF2620"/>
    <w:rsid w:val="00D029A8"/>
    <w:rsid w:val="00DD5187"/>
    <w:rsid w:val="00E80488"/>
    <w:rsid w:val="00EA06FB"/>
    <w:rsid w:val="00ED4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4D629-271B-4163-BA9F-E9A655E5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990"/>
    <w:pPr>
      <w:widowControl w:val="0"/>
      <w:suppressAutoHyphens/>
      <w:spacing w:after="0" w:line="240" w:lineRule="auto"/>
    </w:pPr>
    <w:rPr>
      <w:rFonts w:ascii="Liberation Serif" w:eastAsia="WenQuanYi Zen Hei Sharp" w:hAnsi="Liberation Serif" w:cs="Lohit Devanagari"/>
      <w:kern w:val="1"/>
      <w:sz w:val="24"/>
      <w:szCs w:val="24"/>
      <w:lang w:val="ca-ES" w:eastAsia="zh-CN" w:bidi="hi-IN"/>
    </w:rPr>
  </w:style>
  <w:style w:type="paragraph" w:styleId="Ttulo2">
    <w:name w:val="heading 2"/>
    <w:basedOn w:val="Perdefecte"/>
    <w:next w:val="Textoindependiente"/>
    <w:link w:val="Ttulo2Car"/>
    <w:qFormat/>
    <w:rsid w:val="009B6990"/>
    <w:pPr>
      <w:keepNext/>
      <w:tabs>
        <w:tab w:val="num" w:pos="576"/>
      </w:tabs>
      <w:spacing w:after="0"/>
      <w:ind w:firstLine="708"/>
      <w:jc w:val="both"/>
      <w:outlineLvl w:val="1"/>
    </w:pPr>
    <w:rPr>
      <w:rFonts w:ascii="Garamond" w:eastAsia="Times New Roman" w:hAnsi="Garamond" w:cs="Garamond"/>
      <w:b/>
      <w:bCs/>
      <w:i/>
      <w:iCs/>
      <w:sz w:val="26"/>
      <w:szCs w:val="24"/>
    </w:rPr>
  </w:style>
  <w:style w:type="paragraph" w:styleId="Ttulo5">
    <w:name w:val="heading 5"/>
    <w:basedOn w:val="Normal"/>
    <w:next w:val="Normal"/>
    <w:link w:val="Ttulo5Car"/>
    <w:uiPriority w:val="9"/>
    <w:semiHidden/>
    <w:unhideWhenUsed/>
    <w:qFormat/>
    <w:rsid w:val="009B6990"/>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B6990"/>
    <w:rPr>
      <w:rFonts w:ascii="Garamond" w:eastAsia="Times New Roman" w:hAnsi="Garamond" w:cs="Garamond"/>
      <w:b/>
      <w:bCs/>
      <w:i/>
      <w:iCs/>
      <w:kern w:val="1"/>
      <w:sz w:val="26"/>
      <w:szCs w:val="24"/>
      <w:lang w:eastAsia="zh-CN"/>
    </w:rPr>
  </w:style>
  <w:style w:type="character" w:customStyle="1" w:styleId="Ttulo5Car">
    <w:name w:val="Título 5 Car"/>
    <w:basedOn w:val="Fuentedeprrafopredeter"/>
    <w:link w:val="Ttulo5"/>
    <w:uiPriority w:val="9"/>
    <w:semiHidden/>
    <w:rsid w:val="009B6990"/>
    <w:rPr>
      <w:rFonts w:asciiTheme="majorHAnsi" w:eastAsiaTheme="majorEastAsia" w:hAnsiTheme="majorHAnsi" w:cs="Mangal"/>
      <w:color w:val="243F60" w:themeColor="accent1" w:themeShade="7F"/>
      <w:kern w:val="1"/>
      <w:sz w:val="24"/>
      <w:szCs w:val="21"/>
      <w:lang w:val="ca-ES" w:eastAsia="zh-CN" w:bidi="hi-IN"/>
    </w:rPr>
  </w:style>
  <w:style w:type="paragraph" w:customStyle="1" w:styleId="Perdefecte">
    <w:name w:val="Per defecte"/>
    <w:rsid w:val="009B6990"/>
    <w:pPr>
      <w:suppressAutoHyphens/>
      <w:spacing w:line="240" w:lineRule="auto"/>
    </w:pPr>
    <w:rPr>
      <w:rFonts w:ascii="Calibri" w:eastAsia="Calibri" w:hAnsi="Calibri" w:cs="Times New Roman"/>
      <w:kern w:val="1"/>
      <w:lang w:eastAsia="zh-CN"/>
    </w:rPr>
  </w:style>
  <w:style w:type="paragraph" w:customStyle="1" w:styleId="Textoindependiente31">
    <w:name w:val="Texto independiente 31"/>
    <w:basedOn w:val="Perdefecte"/>
    <w:rsid w:val="009B6990"/>
    <w:pPr>
      <w:spacing w:after="0"/>
      <w:jc w:val="both"/>
    </w:pPr>
    <w:rPr>
      <w:rFonts w:ascii="Garamond" w:eastAsia="Times New Roman" w:hAnsi="Garamond" w:cs="Garamond"/>
      <w:sz w:val="26"/>
      <w:szCs w:val="20"/>
    </w:rPr>
  </w:style>
  <w:style w:type="paragraph" w:styleId="Piedepgina">
    <w:name w:val="footer"/>
    <w:basedOn w:val="Perdefecte"/>
    <w:link w:val="PiedepginaCar"/>
    <w:rsid w:val="009B6990"/>
    <w:pPr>
      <w:suppressLineNumbers/>
      <w:tabs>
        <w:tab w:val="center" w:pos="4252"/>
        <w:tab w:val="right" w:pos="8504"/>
      </w:tabs>
    </w:pPr>
    <w:rPr>
      <w:lang w:val="ca-ES"/>
    </w:rPr>
  </w:style>
  <w:style w:type="character" w:customStyle="1" w:styleId="PiedepginaCar">
    <w:name w:val="Pie de página Car"/>
    <w:basedOn w:val="Fuentedeprrafopredeter"/>
    <w:link w:val="Piedepgina"/>
    <w:rsid w:val="009B6990"/>
    <w:rPr>
      <w:rFonts w:ascii="Calibri" w:eastAsia="Calibri" w:hAnsi="Calibri" w:cs="Times New Roman"/>
      <w:kern w:val="1"/>
      <w:lang w:val="ca-ES" w:eastAsia="zh-CN"/>
    </w:rPr>
  </w:style>
  <w:style w:type="paragraph" w:styleId="NormalWeb">
    <w:name w:val="Normal (Web)"/>
    <w:basedOn w:val="Normal"/>
    <w:uiPriority w:val="99"/>
    <w:semiHidden/>
    <w:unhideWhenUsed/>
    <w:rsid w:val="009B6990"/>
    <w:pPr>
      <w:widowControl/>
      <w:suppressAutoHyphens w:val="0"/>
      <w:spacing w:before="100" w:beforeAutospacing="1" w:after="100" w:afterAutospacing="1"/>
    </w:pPr>
    <w:rPr>
      <w:rFonts w:ascii="Times New Roman" w:eastAsia="Times New Roman" w:hAnsi="Times New Roman" w:cs="Times New Roman"/>
      <w:kern w:val="0"/>
      <w:lang w:val="es-ES" w:eastAsia="es-ES" w:bidi="ar-SA"/>
    </w:rPr>
  </w:style>
  <w:style w:type="paragraph" w:styleId="Textoindependiente">
    <w:name w:val="Body Text"/>
    <w:basedOn w:val="Normal"/>
    <w:link w:val="TextoindependienteCar"/>
    <w:uiPriority w:val="99"/>
    <w:semiHidden/>
    <w:unhideWhenUsed/>
    <w:rsid w:val="009B6990"/>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9B6990"/>
    <w:rPr>
      <w:rFonts w:ascii="Liberation Serif" w:eastAsia="WenQuanYi Zen Hei Sharp" w:hAnsi="Liberation Serif" w:cs="Mangal"/>
      <w:kern w:val="1"/>
      <w:sz w:val="24"/>
      <w:szCs w:val="21"/>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1048</Words>
  <Characters>5766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Incidencia</cp:lastModifiedBy>
  <cp:revision>3</cp:revision>
  <dcterms:created xsi:type="dcterms:W3CDTF">2017-11-20T13:10:00Z</dcterms:created>
  <dcterms:modified xsi:type="dcterms:W3CDTF">2017-11-20T14:50:00Z</dcterms:modified>
</cp:coreProperties>
</file>