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bookmarkStart w:id="0" w:name="_GoBack"/>
      <w:bookmarkEnd w:id="0"/>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procedime</w:t>
      </w:r>
      <w:r>
        <w:rPr>
          <w:rFonts w:ascii="Arial" w:eastAsia="Times New Roman" w:hAnsi="Arial" w:cs="Arial"/>
          <w:color w:val="000000"/>
          <w:lang w:val="ca-ES" w:eastAsia="es-ES"/>
        </w:rPr>
        <w:t>nt de desnonament per precari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2.- D'acord amb la Disposició addicional Primera de la Llei 24/ 2015, de mesures urgents per afrontar l'emergència en l'àmbit de l'habitatge i la pobresa energètica (modificació introduïda pel Decret llei 17/2019, de 23 de desembre, de mesures urgents per millorar l'accés a l'habitatge, sempre que es compleixin dos requisits, abans d’interposar qualsevol demanda de desnonament per manca de títol habilitant, el demandant té l’obligació d’oferir un lloguer social a les persones afectades.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llei en els seus preceptes 5.10, 5.11 i 5.12., la qual cosa hauria d'haver estat comprovada per l’entitat. De l'altra, l’adquirent és una persona jurídica que reuneix la condició de gran tenidor d'habitatge definida a l'article 5.9 a) i a l’apartat 3 a) de la disposició addicional primera de la llei.</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4.- La Disposició transitòria primera del Decret llei 17/2019 fa extensible l'obligació de realitzar l'oferta de lloguer social a tots aquells procediments d’execució hipotecària o de desnonament per impagament de lloguer, en que es complissin ambdós requisits i estiguessin en tràmit de substanciació o d’execució en el moment d'entrada en vigor de la disposició.</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lastRenderedPageBreak/>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aquest escrit, per formulada la denuncia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Comparèixer en el procediment anteriorment referit en condició d’interessat, d’acord amb el que preveu l’article 4 de la Llei 39/2015, d’1 d’octubre, de Procediment Administratiu Comú de les Administracions Públiques. La formulació de l'oferta de lloguer social afecta de forma directa als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8D0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C6A"/>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1</cp:revision>
  <dcterms:created xsi:type="dcterms:W3CDTF">2020-01-13T11:24:00Z</dcterms:created>
  <dcterms:modified xsi:type="dcterms:W3CDTF">2020-01-13T11:31:00Z</dcterms:modified>
</cp:coreProperties>
</file>