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20A944" w14:textId="41CC45A7" w:rsidR="005211A5" w:rsidRPr="008519A9" w:rsidRDefault="005211A5">
      <w:pPr>
        <w:spacing w:before="240" w:after="200"/>
        <w:jc w:val="both"/>
        <w:rPr>
          <w:highlight w:val="white"/>
        </w:rPr>
      </w:pPr>
      <w:r w:rsidRPr="008519A9">
        <w:t xml:space="preserve">A LA PLAZA NÚM. </w:t>
      </w:r>
      <w:r w:rsidR="00CC479A" w:rsidRPr="008519A9">
        <w:rPr>
          <w:color w:val="388600"/>
        </w:rPr>
        <w:t>_______</w:t>
      </w:r>
      <w:r w:rsidRPr="008519A9">
        <w:rPr>
          <w:color w:val="388600"/>
        </w:rPr>
        <w:t xml:space="preserve"> </w:t>
      </w:r>
      <w:r w:rsidRPr="008519A9">
        <w:t xml:space="preserve">DE LA SECCIÓN CIVIL DEL TRIBUNAL DE INSTANCIA DE </w:t>
      </w:r>
      <w:r w:rsidR="00CC479A" w:rsidRPr="008519A9">
        <w:rPr>
          <w:color w:val="388600"/>
        </w:rPr>
        <w:t>________</w:t>
      </w:r>
    </w:p>
    <w:p w14:paraId="7ABC6CF6" w14:textId="1DE53ABA" w:rsidR="00D3034D" w:rsidRPr="008519A9" w:rsidRDefault="005211A5">
      <w:pPr>
        <w:spacing w:before="240" w:after="200"/>
        <w:jc w:val="both"/>
        <w:rPr>
          <w:highlight w:val="white"/>
        </w:rPr>
      </w:pPr>
      <w:r w:rsidRPr="008519A9">
        <w:rPr>
          <w:highlight w:val="white"/>
        </w:rPr>
        <w:t xml:space="preserve">Ejecución de títulos judiciales </w:t>
      </w:r>
      <w:r w:rsidR="00CC479A" w:rsidRPr="008519A9">
        <w:rPr>
          <w:color w:val="388600"/>
          <w:highlight w:val="white"/>
        </w:rPr>
        <w:t>_________</w:t>
      </w:r>
    </w:p>
    <w:p w14:paraId="29AD0963" w14:textId="77777777" w:rsidR="00D3034D" w:rsidRPr="008519A9" w:rsidRDefault="00D739F2">
      <w:pPr>
        <w:spacing w:before="240" w:after="240"/>
        <w:rPr>
          <w:highlight w:val="white"/>
        </w:rPr>
      </w:pPr>
      <w:r w:rsidRPr="008519A9">
        <w:rPr>
          <w:highlight w:val="white"/>
        </w:rPr>
        <w:t xml:space="preserve"> </w:t>
      </w:r>
    </w:p>
    <w:p w14:paraId="6E4DE3B8" w14:textId="06BDBB7A" w:rsidR="00D3034D" w:rsidRPr="008519A9" w:rsidRDefault="00D739F2">
      <w:pPr>
        <w:spacing w:before="240" w:after="200"/>
        <w:jc w:val="center"/>
        <w:rPr>
          <w:b/>
          <w:bCs/>
          <w:sz w:val="28"/>
          <w:szCs w:val="28"/>
          <w:highlight w:val="white"/>
        </w:rPr>
      </w:pPr>
      <w:r w:rsidRPr="008519A9">
        <w:rPr>
          <w:b/>
          <w:bCs/>
          <w:sz w:val="28"/>
          <w:szCs w:val="28"/>
          <w:highlight w:val="white"/>
        </w:rPr>
        <w:t>A</w:t>
      </w:r>
      <w:r w:rsidR="00D47BDE" w:rsidRPr="008519A9">
        <w:rPr>
          <w:b/>
          <w:bCs/>
          <w:sz w:val="28"/>
          <w:szCs w:val="28"/>
          <w:highlight w:val="white"/>
        </w:rPr>
        <w:t xml:space="preserve"> LA PLAZA NÚM. </w:t>
      </w:r>
      <w:r w:rsidR="00CC479A" w:rsidRPr="008519A9">
        <w:rPr>
          <w:b/>
          <w:bCs/>
          <w:color w:val="388600"/>
          <w:sz w:val="28"/>
          <w:szCs w:val="28"/>
          <w:highlight w:val="white"/>
        </w:rPr>
        <w:t>____</w:t>
      </w:r>
      <w:r w:rsidR="00D47BDE" w:rsidRPr="008519A9">
        <w:rPr>
          <w:b/>
          <w:bCs/>
          <w:color w:val="388600"/>
          <w:sz w:val="28"/>
          <w:szCs w:val="28"/>
          <w:highlight w:val="white"/>
        </w:rPr>
        <w:t xml:space="preserve"> </w:t>
      </w:r>
      <w:r w:rsidR="00D47BDE" w:rsidRPr="008519A9">
        <w:rPr>
          <w:b/>
          <w:bCs/>
          <w:sz w:val="28"/>
          <w:szCs w:val="28"/>
          <w:highlight w:val="white"/>
        </w:rPr>
        <w:t xml:space="preserve">DE LA SECCIÓN CIVIL DEL TRIBUNAL DE INSTANCIA DE </w:t>
      </w:r>
      <w:r w:rsidR="00CC479A" w:rsidRPr="008519A9">
        <w:rPr>
          <w:b/>
          <w:bCs/>
          <w:color w:val="388600"/>
          <w:sz w:val="28"/>
          <w:szCs w:val="28"/>
          <w:highlight w:val="white"/>
        </w:rPr>
        <w:t>___________</w:t>
      </w:r>
    </w:p>
    <w:p w14:paraId="3D25F1FF" w14:textId="77777777" w:rsidR="00D3034D" w:rsidRPr="008519A9" w:rsidRDefault="00D739F2">
      <w:pPr>
        <w:spacing w:before="240" w:after="240"/>
        <w:rPr>
          <w:highlight w:val="white"/>
        </w:rPr>
      </w:pPr>
      <w:r w:rsidRPr="008519A9">
        <w:rPr>
          <w:highlight w:val="white"/>
        </w:rPr>
        <w:t xml:space="preserve"> </w:t>
      </w:r>
    </w:p>
    <w:p w14:paraId="73C189B1" w14:textId="1220759C" w:rsidR="00D3034D" w:rsidRPr="008519A9" w:rsidRDefault="00CC479A">
      <w:pPr>
        <w:spacing w:before="240" w:after="200"/>
        <w:jc w:val="both"/>
        <w:rPr>
          <w:b/>
          <w:bCs/>
          <w:highlight w:val="white"/>
        </w:rPr>
      </w:pPr>
      <w:r w:rsidRPr="008519A9">
        <w:rPr>
          <w:color w:val="388600"/>
          <w:highlight w:val="white"/>
        </w:rPr>
        <w:t>_________</w:t>
      </w:r>
      <w:r w:rsidR="00D47BDE" w:rsidRPr="008519A9">
        <w:rPr>
          <w:highlight w:val="white"/>
        </w:rPr>
        <w:t xml:space="preserve">, con </w:t>
      </w:r>
      <w:r w:rsidRPr="008519A9">
        <w:rPr>
          <w:highlight w:val="white"/>
        </w:rPr>
        <w:t>CIF</w:t>
      </w:r>
      <w:r w:rsidR="00D47BDE" w:rsidRPr="008519A9">
        <w:rPr>
          <w:highlight w:val="white"/>
        </w:rPr>
        <w:t xml:space="preserve"> núm. </w:t>
      </w:r>
      <w:r w:rsidRPr="008519A9">
        <w:rPr>
          <w:color w:val="388600"/>
          <w:highlight w:val="white"/>
        </w:rPr>
        <w:t>______</w:t>
      </w:r>
      <w:r w:rsidR="00D47BDE" w:rsidRPr="008519A9">
        <w:rPr>
          <w:highlight w:val="white"/>
        </w:rPr>
        <w:t xml:space="preserve">, en nombre propio, con domicilio a efectos de notificaciones en </w:t>
      </w:r>
      <w:r w:rsidRPr="008519A9">
        <w:rPr>
          <w:color w:val="388600"/>
          <w:highlight w:val="white"/>
        </w:rPr>
        <w:t>___________</w:t>
      </w:r>
      <w:r w:rsidR="00D47BDE" w:rsidRPr="008519A9">
        <w:rPr>
          <w:color w:val="388600"/>
          <w:highlight w:val="white"/>
        </w:rPr>
        <w:t xml:space="preserve">, </w:t>
      </w:r>
      <w:r w:rsidR="00D47BDE" w:rsidRPr="008519A9">
        <w:rPr>
          <w:highlight w:val="white"/>
        </w:rPr>
        <w:t xml:space="preserve">CP </w:t>
      </w:r>
      <w:r w:rsidRPr="008519A9">
        <w:rPr>
          <w:color w:val="388600"/>
          <w:highlight w:val="white"/>
        </w:rPr>
        <w:t>___________</w:t>
      </w:r>
      <w:r w:rsidR="00D47BDE" w:rsidRPr="008519A9">
        <w:rPr>
          <w:color w:val="388600"/>
          <w:highlight w:val="white"/>
        </w:rPr>
        <w:t xml:space="preserve"> </w:t>
      </w:r>
      <w:r w:rsidR="00D47BDE" w:rsidRPr="008519A9">
        <w:rPr>
          <w:highlight w:val="white"/>
        </w:rPr>
        <w:t xml:space="preserve">de </w:t>
      </w:r>
      <w:r w:rsidRPr="008519A9">
        <w:rPr>
          <w:color w:val="388600"/>
          <w:highlight w:val="white"/>
        </w:rPr>
        <w:t>__________</w:t>
      </w:r>
      <w:r w:rsidR="00D47BDE" w:rsidRPr="008519A9">
        <w:rPr>
          <w:color w:val="388600"/>
          <w:highlight w:val="white"/>
        </w:rPr>
        <w:t xml:space="preserve">, </w:t>
      </w:r>
      <w:r w:rsidR="00D47BDE" w:rsidRPr="008519A9">
        <w:rPr>
          <w:highlight w:val="white"/>
        </w:rPr>
        <w:t xml:space="preserve">ante el Juzgado comparezco y como mejor proceda en Derecho, </w:t>
      </w:r>
      <w:r w:rsidR="00671DA9" w:rsidRPr="008519A9">
        <w:rPr>
          <w:b/>
          <w:bCs/>
          <w:highlight w:val="white"/>
        </w:rPr>
        <w:t>DIGO</w:t>
      </w:r>
      <w:r w:rsidR="00D47BDE" w:rsidRPr="008519A9">
        <w:rPr>
          <w:b/>
          <w:bCs/>
          <w:highlight w:val="white"/>
        </w:rPr>
        <w:t xml:space="preserve">: </w:t>
      </w:r>
    </w:p>
    <w:p w14:paraId="008FF3F9" w14:textId="1BAE417E" w:rsidR="00A04562" w:rsidRPr="008519A9" w:rsidRDefault="00A04562">
      <w:pPr>
        <w:spacing w:before="240" w:after="200"/>
        <w:jc w:val="both"/>
        <w:rPr>
          <w:b/>
          <w:bCs/>
          <w:highlight w:val="white"/>
        </w:rPr>
      </w:pPr>
      <w:r w:rsidRPr="008519A9">
        <w:rPr>
          <w:highlight w:val="white"/>
        </w:rPr>
        <w:t>Que en fecha</w:t>
      </w:r>
      <w:r w:rsidRPr="008519A9">
        <w:t xml:space="preserve"> </w:t>
      </w:r>
      <w:r w:rsidR="00CC479A" w:rsidRPr="008519A9">
        <w:rPr>
          <w:color w:val="318100"/>
        </w:rPr>
        <w:t>_______</w:t>
      </w:r>
      <w:r w:rsidR="00CC479A" w:rsidRPr="008519A9">
        <w:t xml:space="preserve"> </w:t>
      </w:r>
      <w:r w:rsidRPr="008519A9">
        <w:rPr>
          <w:highlight w:val="white"/>
        </w:rPr>
        <w:t xml:space="preserve">he sido notificada de la Diligencia de Ordenación de fecha </w:t>
      </w:r>
      <w:r w:rsidR="00CC479A" w:rsidRPr="008519A9">
        <w:rPr>
          <w:color w:val="318100"/>
        </w:rPr>
        <w:t>________</w:t>
      </w:r>
      <w:r w:rsidRPr="008519A9">
        <w:rPr>
          <w:color w:val="318100"/>
        </w:rPr>
        <w:t xml:space="preserve"> </w:t>
      </w:r>
      <w:r w:rsidRPr="008519A9">
        <w:rPr>
          <w:highlight w:val="white"/>
        </w:rPr>
        <w:t xml:space="preserve">que </w:t>
      </w:r>
      <w:r w:rsidR="00EC64A2" w:rsidRPr="008519A9">
        <w:rPr>
          <w:b/>
          <w:bCs/>
          <w:highlight w:val="white"/>
        </w:rPr>
        <w:t xml:space="preserve">ordena el lanzamiento para el próximo </w:t>
      </w:r>
      <w:r w:rsidR="00CC479A" w:rsidRPr="008519A9">
        <w:rPr>
          <w:b/>
          <w:bCs/>
          <w:color w:val="388600"/>
          <w:highlight w:val="white"/>
        </w:rPr>
        <w:t>_______</w:t>
      </w:r>
      <w:r w:rsidR="00991B41">
        <w:rPr>
          <w:b/>
          <w:bCs/>
          <w:color w:val="388600"/>
          <w:highlight w:val="white"/>
        </w:rPr>
        <w:t xml:space="preserve"> </w:t>
      </w:r>
      <w:r w:rsidR="00991B41" w:rsidRPr="00991B41">
        <w:rPr>
          <w:b/>
          <w:bCs/>
          <w:color w:val="000000" w:themeColor="text1"/>
          <w:highlight w:val="white"/>
        </w:rPr>
        <w:t>tras la caída de la moratoria</w:t>
      </w:r>
      <w:r w:rsidR="00A24347" w:rsidRPr="00991B41">
        <w:rPr>
          <w:b/>
          <w:bCs/>
          <w:color w:val="000000" w:themeColor="text1"/>
          <w:highlight w:val="white"/>
        </w:rPr>
        <w:t xml:space="preserve">, </w:t>
      </w:r>
      <w:r w:rsidR="00A24347" w:rsidRPr="008519A9">
        <w:rPr>
          <w:b/>
          <w:bCs/>
          <w:highlight w:val="white"/>
        </w:rPr>
        <w:t xml:space="preserve">sin que </w:t>
      </w:r>
      <w:r w:rsidR="00991B41">
        <w:rPr>
          <w:b/>
          <w:bCs/>
          <w:highlight w:val="white"/>
        </w:rPr>
        <w:t xml:space="preserve">se haya llevado a cabo el procedimiento de conciliación o intermediación </w:t>
      </w:r>
      <w:r w:rsidR="00991B41">
        <w:rPr>
          <w:b/>
          <w:bCs/>
          <w:highlight w:val="white"/>
        </w:rPr>
        <w:t>correspondiente</w:t>
      </w:r>
      <w:r w:rsidR="00991B41">
        <w:rPr>
          <w:b/>
          <w:bCs/>
          <w:highlight w:val="white"/>
        </w:rPr>
        <w:t xml:space="preserve">, y sin que </w:t>
      </w:r>
      <w:r w:rsidR="00A24347" w:rsidRPr="008519A9">
        <w:rPr>
          <w:b/>
          <w:bCs/>
          <w:highlight w:val="white"/>
        </w:rPr>
        <w:t xml:space="preserve">hasta la fecha </w:t>
      </w:r>
      <w:r w:rsidR="008C3B1D" w:rsidRPr="008519A9">
        <w:rPr>
          <w:b/>
          <w:bCs/>
          <w:highlight w:val="white"/>
        </w:rPr>
        <w:t>se hayan ofrecido alternativas residenciales dignas por parte de las Administraciones Públicas competentes</w:t>
      </w:r>
      <w:r w:rsidR="008C3B1D" w:rsidRPr="008519A9">
        <w:rPr>
          <w:highlight w:val="white"/>
        </w:rPr>
        <w:t>, motivo por el cual realizo las siguientes</w:t>
      </w:r>
      <w:r w:rsidR="008C3B1D" w:rsidRPr="008519A9">
        <w:rPr>
          <w:b/>
          <w:bCs/>
          <w:highlight w:val="white"/>
        </w:rPr>
        <w:t xml:space="preserve"> MANIFESTACIONES: </w:t>
      </w:r>
    </w:p>
    <w:p w14:paraId="4B16D821" w14:textId="0D0B58DE" w:rsidR="001B2837" w:rsidRPr="008519A9" w:rsidRDefault="005A1952" w:rsidP="00463534">
      <w:pPr>
        <w:spacing w:before="240" w:after="200"/>
        <w:jc w:val="both"/>
        <w:rPr>
          <w:b/>
          <w:bCs/>
          <w:highlight w:val="white"/>
        </w:rPr>
      </w:pPr>
      <w:r w:rsidRPr="008519A9">
        <w:rPr>
          <w:b/>
          <w:bCs/>
          <w:highlight w:val="white"/>
        </w:rPr>
        <w:t>PRIMER</w:t>
      </w:r>
      <w:r w:rsidR="001B2837" w:rsidRPr="008519A9">
        <w:rPr>
          <w:b/>
          <w:bCs/>
          <w:highlight w:val="white"/>
        </w:rPr>
        <w:t>A</w:t>
      </w:r>
      <w:r w:rsidRPr="008519A9">
        <w:rPr>
          <w:b/>
          <w:bCs/>
          <w:highlight w:val="white"/>
        </w:rPr>
        <w:t>.</w:t>
      </w:r>
      <w:r w:rsidR="005A5016" w:rsidRPr="008519A9">
        <w:rPr>
          <w:highlight w:val="white"/>
        </w:rPr>
        <w:t xml:space="preserve"> </w:t>
      </w:r>
      <w:r w:rsidR="001B2837" w:rsidRPr="008519A9">
        <w:rPr>
          <w:b/>
          <w:bCs/>
          <w:highlight w:val="white"/>
        </w:rPr>
        <w:t xml:space="preserve">OBLIGACIÓN DE </w:t>
      </w:r>
      <w:r w:rsidR="002E066B">
        <w:rPr>
          <w:b/>
          <w:bCs/>
          <w:highlight w:val="white"/>
        </w:rPr>
        <w:t xml:space="preserve">LA ACTORA GRAN TENEDORA DE </w:t>
      </w:r>
      <w:r w:rsidR="00A80DD8">
        <w:rPr>
          <w:b/>
          <w:bCs/>
          <w:highlight w:val="white"/>
        </w:rPr>
        <w:t>SOMETESE A UN PROCEDIMIENTO DE CONCLIACIÓN O INTERMEDIACIÓN TRAS</w:t>
      </w:r>
      <w:r w:rsidR="001B2837" w:rsidRPr="008519A9">
        <w:rPr>
          <w:b/>
          <w:bCs/>
          <w:highlight w:val="white"/>
        </w:rPr>
        <w:t xml:space="preserve"> LA CAÍDA DE LA MORATORIA DE DESAHUCIOS</w:t>
      </w:r>
    </w:p>
    <w:p w14:paraId="7F78A53A" w14:textId="7B51682E" w:rsidR="001F1022" w:rsidRDefault="005A5016" w:rsidP="00463534">
      <w:pPr>
        <w:spacing w:before="240" w:after="200"/>
        <w:jc w:val="both"/>
        <w:rPr>
          <w:highlight w:val="white"/>
        </w:rPr>
      </w:pPr>
      <w:r w:rsidRPr="008519A9">
        <w:rPr>
          <w:highlight w:val="white"/>
        </w:rPr>
        <w:t>Que</w:t>
      </w:r>
      <w:r w:rsidR="00291602" w:rsidRPr="008519A9">
        <w:rPr>
          <w:highlight w:val="white"/>
        </w:rPr>
        <w:t xml:space="preserve"> </w:t>
      </w:r>
      <w:r w:rsidR="002E066B">
        <w:rPr>
          <w:highlight w:val="white"/>
        </w:rPr>
        <w:t xml:space="preserve">la Disposición </w:t>
      </w:r>
      <w:r w:rsidR="00396F16">
        <w:rPr>
          <w:highlight w:val="white"/>
        </w:rPr>
        <w:t>t</w:t>
      </w:r>
      <w:r w:rsidR="002E066B">
        <w:rPr>
          <w:highlight w:val="white"/>
        </w:rPr>
        <w:t xml:space="preserve">ransitoria </w:t>
      </w:r>
      <w:r w:rsidR="00396F16">
        <w:rPr>
          <w:highlight w:val="white"/>
        </w:rPr>
        <w:t>t</w:t>
      </w:r>
      <w:r w:rsidR="002E066B">
        <w:rPr>
          <w:highlight w:val="white"/>
        </w:rPr>
        <w:t xml:space="preserve">ercera de la </w:t>
      </w:r>
      <w:r w:rsidR="002E066B" w:rsidRPr="002E066B">
        <w:t>Ley 12/2023, de 24 de mayo, por el derecho a la vivienda</w:t>
      </w:r>
      <w:r w:rsidR="002E066B" w:rsidRPr="002E066B">
        <w:rPr>
          <w:highlight w:val="white"/>
        </w:rPr>
        <w:t xml:space="preserve"> </w:t>
      </w:r>
      <w:r w:rsidR="002E066B">
        <w:rPr>
          <w:highlight w:val="white"/>
        </w:rPr>
        <w:t>establece</w:t>
      </w:r>
      <w:r w:rsidR="00396F16">
        <w:rPr>
          <w:highlight w:val="white"/>
        </w:rPr>
        <w:t xml:space="preserve"> que </w:t>
      </w:r>
      <w:r w:rsidR="00902255">
        <w:rPr>
          <w:highlight w:val="white"/>
        </w:rPr>
        <w:t xml:space="preserve">solo se reanudarán los procedimientos </w:t>
      </w:r>
      <w:r w:rsidR="00E7296D">
        <w:rPr>
          <w:highlight w:val="white"/>
        </w:rPr>
        <w:t xml:space="preserve">de desahucio </w:t>
      </w:r>
      <w:r w:rsidR="00902255">
        <w:rPr>
          <w:highlight w:val="white"/>
        </w:rPr>
        <w:t>que hubieran estado suspendidos en virtud del artículo 1 y 1 bis del RDL 11/2020</w:t>
      </w:r>
      <w:r w:rsidR="00E7296D">
        <w:rPr>
          <w:highlight w:val="white"/>
        </w:rPr>
        <w:t xml:space="preserve"> y en los que la parte actora sea gran tenedora</w:t>
      </w:r>
      <w:r w:rsidR="00902255">
        <w:rPr>
          <w:highlight w:val="white"/>
        </w:rPr>
        <w:t xml:space="preserve">, </w:t>
      </w:r>
      <w:r w:rsidR="00276A27">
        <w:rPr>
          <w:highlight w:val="white"/>
        </w:rPr>
        <w:t xml:space="preserve">a </w:t>
      </w:r>
      <w:r w:rsidR="00276A27" w:rsidRPr="00276A27">
        <w:t>petición expresa de la misma si la parte actora acredita que se ha sometido al procedimiento de conciliación o intermediación que a tal efecto establezcan las Administraciones Públicas, en base al análisis de las circunstancias de ambas partes y de las posibles ayudas y subvenciones existentes conforme a la legislación y normativa autonómica en materia de vivienda</w:t>
      </w:r>
      <w:r w:rsidR="00A95429">
        <w:rPr>
          <w:highlight w:val="white"/>
        </w:rPr>
        <w:t xml:space="preserve">. </w:t>
      </w:r>
    </w:p>
    <w:p w14:paraId="73864D41" w14:textId="6F3F2908" w:rsidR="00396F16" w:rsidRPr="00366A6A" w:rsidRDefault="0099306F" w:rsidP="00463534">
      <w:pPr>
        <w:spacing w:before="240" w:after="200"/>
        <w:jc w:val="both"/>
        <w:rPr>
          <w:highlight w:val="white"/>
        </w:rPr>
      </w:pPr>
      <w:r>
        <w:rPr>
          <w:highlight w:val="white"/>
        </w:rPr>
        <w:t>Tras la caída de la moratoria de desahucios por la falta de convalidación parlamentaria del RDL 2/2026, y h</w:t>
      </w:r>
      <w:r w:rsidR="00F45245">
        <w:rPr>
          <w:highlight w:val="white"/>
        </w:rPr>
        <w:t xml:space="preserve">abiéndose suspendido el procedimiento de desahucio en virtud del </w:t>
      </w:r>
      <w:r w:rsidR="00F45245" w:rsidRPr="00F45245">
        <w:rPr>
          <w:color w:val="388600"/>
          <w:highlight w:val="white"/>
        </w:rPr>
        <w:t>artículo 1/1 bis del RDL 11/2020</w:t>
      </w:r>
      <w:r w:rsidR="00F45245">
        <w:rPr>
          <w:color w:val="388600"/>
          <w:highlight w:val="white"/>
        </w:rPr>
        <w:t xml:space="preserve"> [escoger en función de si </w:t>
      </w:r>
      <w:r w:rsidR="00366A6A">
        <w:rPr>
          <w:color w:val="388600"/>
          <w:highlight w:val="white"/>
        </w:rPr>
        <w:t>el procedimiento viene de un alquiler (artículo 1) o viene de un procedimiento de ocupación (artículo 1 bis)</w:t>
      </w:r>
      <w:r w:rsidR="00F45245">
        <w:rPr>
          <w:color w:val="388600"/>
          <w:highlight w:val="white"/>
        </w:rPr>
        <w:t>]</w:t>
      </w:r>
      <w:r w:rsidR="00366A6A">
        <w:rPr>
          <w:color w:val="388600"/>
          <w:highlight w:val="white"/>
        </w:rPr>
        <w:t xml:space="preserve"> </w:t>
      </w:r>
      <w:r w:rsidR="00881080">
        <w:rPr>
          <w:highlight w:val="white"/>
        </w:rPr>
        <w:t xml:space="preserve">mediante auto de fecha </w:t>
      </w:r>
      <w:r w:rsidR="00881080" w:rsidRPr="00881080">
        <w:rPr>
          <w:color w:val="388600"/>
          <w:highlight w:val="white"/>
        </w:rPr>
        <w:t>________</w:t>
      </w:r>
      <w:r w:rsidR="00881080">
        <w:rPr>
          <w:highlight w:val="white"/>
        </w:rPr>
        <w:t xml:space="preserve">, el desahucio de fecha </w:t>
      </w:r>
      <w:r w:rsidR="00881080" w:rsidRPr="00881080">
        <w:rPr>
          <w:color w:val="388600"/>
          <w:highlight w:val="white"/>
        </w:rPr>
        <w:t xml:space="preserve">__________ </w:t>
      </w:r>
      <w:r w:rsidR="00881080">
        <w:rPr>
          <w:highlight w:val="white"/>
        </w:rPr>
        <w:t>debe suspender</w:t>
      </w:r>
      <w:r w:rsidR="00AA251F">
        <w:rPr>
          <w:highlight w:val="white"/>
        </w:rPr>
        <w:t>se</w:t>
      </w:r>
      <w:r w:rsidR="00881080">
        <w:rPr>
          <w:highlight w:val="white"/>
        </w:rPr>
        <w:t xml:space="preserve"> hasta que la parte actora acredite haberse sometido al procedimiento de conciliación o intermediación correspondiente. </w:t>
      </w:r>
    </w:p>
    <w:p w14:paraId="5553146E" w14:textId="7122023F" w:rsidR="00A95429" w:rsidRPr="00A95429" w:rsidRDefault="00A95429" w:rsidP="00463534">
      <w:pPr>
        <w:spacing w:before="240" w:after="200"/>
        <w:jc w:val="both"/>
        <w:rPr>
          <w:b/>
          <w:bCs/>
          <w:highlight w:val="white"/>
        </w:rPr>
      </w:pPr>
      <w:r w:rsidRPr="00A95429">
        <w:rPr>
          <w:b/>
          <w:bCs/>
          <w:highlight w:val="white"/>
        </w:rPr>
        <w:t xml:space="preserve">SEGUNDA.- PERSISTENCIA DE LA ADMINISTRACIÓN DE REALOJAR A PESAR DE LA CAÍDA DE LA MORATORIA DE DESAHUCIOS </w:t>
      </w:r>
    </w:p>
    <w:p w14:paraId="05A53735" w14:textId="1FFA0396" w:rsidR="00463534" w:rsidRPr="008519A9" w:rsidRDefault="00A95429" w:rsidP="00463534">
      <w:pPr>
        <w:spacing w:before="240" w:after="200"/>
        <w:jc w:val="both"/>
        <w:rPr>
          <w:highlight w:val="white"/>
        </w:rPr>
      </w:pPr>
      <w:r>
        <w:rPr>
          <w:highlight w:val="white"/>
        </w:rPr>
        <w:lastRenderedPageBreak/>
        <w:t>Que</w:t>
      </w:r>
      <w:r w:rsidR="002E066B">
        <w:rPr>
          <w:highlight w:val="white"/>
        </w:rPr>
        <w:t xml:space="preserve"> </w:t>
      </w:r>
      <w:r w:rsidR="00291602" w:rsidRPr="008519A9">
        <w:rPr>
          <w:highlight w:val="white"/>
          <w:u w:val="single"/>
        </w:rPr>
        <w:t>a pesar de la caída de</w:t>
      </w:r>
      <w:r w:rsidR="0010101E" w:rsidRPr="008519A9">
        <w:rPr>
          <w:highlight w:val="white"/>
          <w:u w:val="single"/>
        </w:rPr>
        <w:t xml:space="preserve"> la moratoria de desahucios de colectivos vulnerables </w:t>
      </w:r>
      <w:r w:rsidR="00463534" w:rsidRPr="008519A9">
        <w:rPr>
          <w:highlight w:val="white"/>
          <w:u w:val="single"/>
        </w:rPr>
        <w:t>que recogían los artículos 1 y 1 bis del</w:t>
      </w:r>
      <w:r w:rsidR="0010101E" w:rsidRPr="008519A9">
        <w:rPr>
          <w:highlight w:val="white"/>
          <w:u w:val="single"/>
        </w:rPr>
        <w:t xml:space="preserve"> RDL 11/2020</w:t>
      </w:r>
      <w:r w:rsidR="00463534" w:rsidRPr="008519A9">
        <w:rPr>
          <w:highlight w:val="white"/>
        </w:rPr>
        <w:t xml:space="preserve">, </w:t>
      </w:r>
      <w:r w:rsidR="00463534" w:rsidRPr="008519A9">
        <w:rPr>
          <w:b/>
          <w:bCs/>
          <w:highlight w:val="white"/>
        </w:rPr>
        <w:t>no desaparece la obligación de los Juzgados de asegurar que las Administraciones Públicas cumplen con su obligación de ofrecer alternativas residenciales dignas a personas y unidades familiares en riesgo de exclusión residencial antes de que se produzca el realojo</w:t>
      </w:r>
      <w:r w:rsidR="00463534" w:rsidRPr="008519A9">
        <w:rPr>
          <w:highlight w:val="white"/>
        </w:rPr>
        <w:t xml:space="preserve">, </w:t>
      </w:r>
      <w:r w:rsidR="00463534" w:rsidRPr="008519A9">
        <w:rPr>
          <w:highlight w:val="white"/>
          <w:u w:val="single"/>
        </w:rPr>
        <w:t>como condición necesaria para el mismo</w:t>
      </w:r>
      <w:r w:rsidR="00463534" w:rsidRPr="008519A9">
        <w:rPr>
          <w:highlight w:val="white"/>
        </w:rPr>
        <w:t xml:space="preserve">. </w:t>
      </w:r>
    </w:p>
    <w:p w14:paraId="2D8D2F98" w14:textId="4EEE7B2A" w:rsidR="005A5016" w:rsidRPr="008519A9" w:rsidRDefault="00463534">
      <w:pPr>
        <w:spacing w:before="240" w:after="200"/>
        <w:jc w:val="both"/>
        <w:rPr>
          <w:highlight w:val="white"/>
        </w:rPr>
      </w:pPr>
      <w:r w:rsidRPr="008519A9">
        <w:rPr>
          <w:highlight w:val="white"/>
        </w:rPr>
        <w:t>Ello se desprende de</w:t>
      </w:r>
      <w:r w:rsidR="005A5016" w:rsidRPr="008519A9">
        <w:rPr>
          <w:highlight w:val="white"/>
        </w:rPr>
        <w:t xml:space="preserve"> la normativa</w:t>
      </w:r>
      <w:r w:rsidR="00BD6AED" w:rsidRPr="008519A9">
        <w:rPr>
          <w:highlight w:val="white"/>
        </w:rPr>
        <w:t xml:space="preserve"> </w:t>
      </w:r>
      <w:r w:rsidR="00190F4C" w:rsidRPr="008519A9">
        <w:rPr>
          <w:highlight w:val="white"/>
        </w:rPr>
        <w:t xml:space="preserve">internacional, estatal </w:t>
      </w:r>
      <w:r w:rsidR="00032EAA">
        <w:rPr>
          <w:highlight w:val="white"/>
        </w:rPr>
        <w:t>y</w:t>
      </w:r>
      <w:r w:rsidR="00190F4C" w:rsidRPr="008519A9">
        <w:rPr>
          <w:highlight w:val="white"/>
        </w:rPr>
        <w:t xml:space="preserve"> autonómica</w:t>
      </w:r>
      <w:r w:rsidRPr="008519A9">
        <w:rPr>
          <w:highlight w:val="white"/>
        </w:rPr>
        <w:t xml:space="preserve">, así como la jurisprudencia internacional y estatal que </w:t>
      </w:r>
      <w:r w:rsidR="00190F4C" w:rsidRPr="008519A9">
        <w:rPr>
          <w:highlight w:val="white"/>
        </w:rPr>
        <w:t xml:space="preserve">prevén la necesidad de que las Administraciones Públicas ofrezcan alternativas residenciales dignas </w:t>
      </w:r>
      <w:r w:rsidR="00FC3C17" w:rsidRPr="008519A9">
        <w:rPr>
          <w:highlight w:val="white"/>
        </w:rPr>
        <w:t>a personas y unidades familiares en riesgo de exclusión residencial</w:t>
      </w:r>
      <w:r w:rsidR="0073145E" w:rsidRPr="008519A9">
        <w:rPr>
          <w:highlight w:val="white"/>
        </w:rPr>
        <w:t xml:space="preserve"> antes de que se produzca el realojo</w:t>
      </w:r>
      <w:r w:rsidRPr="008519A9">
        <w:rPr>
          <w:highlight w:val="white"/>
        </w:rPr>
        <w:t xml:space="preserve">, así como que los Juzgados y Tribunales aseguren </w:t>
      </w:r>
      <w:r w:rsidRPr="008519A9">
        <w:rPr>
          <w:i/>
          <w:iCs/>
          <w:highlight w:val="white"/>
        </w:rPr>
        <w:t>ex ante</w:t>
      </w:r>
      <w:r w:rsidRPr="008519A9">
        <w:rPr>
          <w:highlight w:val="white"/>
        </w:rPr>
        <w:t xml:space="preserve"> la existencia de dichas medidas sociales. </w:t>
      </w:r>
      <w:r w:rsidR="0073145E" w:rsidRPr="008519A9">
        <w:rPr>
          <w:highlight w:val="white"/>
        </w:rPr>
        <w:t xml:space="preserve"> </w:t>
      </w:r>
    </w:p>
    <w:p w14:paraId="38F49A3D" w14:textId="01BECECF" w:rsidR="005F0706" w:rsidRPr="008519A9" w:rsidRDefault="005F0706">
      <w:pPr>
        <w:spacing w:before="240" w:after="200"/>
        <w:jc w:val="both"/>
        <w:rPr>
          <w:highlight w:val="white"/>
        </w:rPr>
      </w:pPr>
      <w:r w:rsidRPr="008519A9">
        <w:rPr>
          <w:highlight w:val="white"/>
        </w:rPr>
        <w:t xml:space="preserve">En concreto, el artículo 441.5 de la LEC establece que la Administraciones Públicas competentes deberán: </w:t>
      </w:r>
    </w:p>
    <w:p w14:paraId="651C0195" w14:textId="0E98BF22" w:rsidR="005F0706" w:rsidRPr="008519A9" w:rsidRDefault="00717AB2" w:rsidP="00717AB2">
      <w:pPr>
        <w:spacing w:before="240" w:after="200"/>
        <w:ind w:left="720" w:firstLine="720"/>
        <w:jc w:val="both"/>
      </w:pPr>
      <w:r w:rsidRPr="008519A9">
        <w:rPr>
          <w:i/>
          <w:iCs/>
          <w:sz w:val="20"/>
          <w:szCs w:val="20"/>
        </w:rPr>
        <w:t xml:space="preserve">presentar al Juzgado </w:t>
      </w:r>
      <w:r w:rsidRPr="008519A9">
        <w:rPr>
          <w:b/>
          <w:bCs/>
          <w:i/>
          <w:iCs/>
          <w:sz w:val="20"/>
          <w:szCs w:val="20"/>
          <w:u w:val="single"/>
        </w:rPr>
        <w:t>propuesta de alternativa de vivienda digna en alquiler social a proporcionar por la Administración competente para ello y propuesta de medidas de atención inmediata a adoptar igualmente por la Administración competente</w:t>
      </w:r>
      <w:r w:rsidRPr="008519A9">
        <w:rPr>
          <w:i/>
          <w:iCs/>
          <w:sz w:val="20"/>
          <w:szCs w:val="20"/>
        </w:rPr>
        <w:t>, así como de las posibles ayudas económicas y subvenciones de las que pueda ser beneficiaria la parte demandada</w:t>
      </w:r>
      <w:r w:rsidRPr="008519A9">
        <w:t>.</w:t>
      </w:r>
    </w:p>
    <w:p w14:paraId="7E4F7842" w14:textId="6C1DA6E4" w:rsidR="00463534" w:rsidRPr="008519A9" w:rsidRDefault="000C2CEB">
      <w:pPr>
        <w:spacing w:before="240" w:after="200"/>
        <w:jc w:val="both"/>
        <w:rPr>
          <w:highlight w:val="white"/>
        </w:rPr>
      </w:pPr>
      <w:r w:rsidRPr="008519A9">
        <w:rPr>
          <w:highlight w:val="white"/>
        </w:rPr>
        <w:t xml:space="preserve">Se adjunta como </w:t>
      </w:r>
      <w:r w:rsidRPr="008519A9">
        <w:rPr>
          <w:b/>
          <w:bCs/>
          <w:highlight w:val="white"/>
        </w:rPr>
        <w:t>Documento núm. 1</w:t>
      </w:r>
      <w:r w:rsidRPr="008519A9">
        <w:rPr>
          <w:highlight w:val="white"/>
        </w:rPr>
        <w:t xml:space="preserve"> </w:t>
      </w:r>
      <w:r w:rsidR="00126DA6" w:rsidRPr="008519A9">
        <w:rPr>
          <w:highlight w:val="white"/>
        </w:rPr>
        <w:t>un compendio de normativa y jurisprudencia internacional, estatal y autonómica que prevén dicha garantía</w:t>
      </w:r>
      <w:r w:rsidR="001B2837" w:rsidRPr="008519A9">
        <w:rPr>
          <w:highlight w:val="white"/>
        </w:rPr>
        <w:t xml:space="preserve">, elaborada por el centro de derechos humanos Observatori DESCA. </w:t>
      </w:r>
    </w:p>
    <w:p w14:paraId="44134652" w14:textId="639C06E2" w:rsidR="001B2837" w:rsidRPr="008519A9" w:rsidRDefault="00881080">
      <w:pPr>
        <w:spacing w:before="240" w:after="200"/>
        <w:jc w:val="both"/>
        <w:rPr>
          <w:b/>
          <w:bCs/>
          <w:highlight w:val="white"/>
        </w:rPr>
      </w:pPr>
      <w:r>
        <w:rPr>
          <w:b/>
          <w:bCs/>
          <w:highlight w:val="white"/>
        </w:rPr>
        <w:t>TERCER</w:t>
      </w:r>
      <w:r w:rsidR="00831915">
        <w:rPr>
          <w:b/>
          <w:bCs/>
          <w:highlight w:val="white"/>
        </w:rPr>
        <w:t>A</w:t>
      </w:r>
      <w:r w:rsidR="001B2837" w:rsidRPr="008519A9">
        <w:rPr>
          <w:b/>
          <w:bCs/>
          <w:highlight w:val="white"/>
        </w:rPr>
        <w:t xml:space="preserve">. </w:t>
      </w:r>
      <w:r w:rsidR="00741966" w:rsidRPr="008519A9">
        <w:rPr>
          <w:b/>
          <w:bCs/>
          <w:highlight w:val="white"/>
        </w:rPr>
        <w:t>SITUACIÓN DE VULNERABILIDAD Y RIESGO DE EXCLUSIÓN SOCIAL CONOCIDA POR PARTE</w:t>
      </w:r>
      <w:r w:rsidR="00717AB2" w:rsidRPr="008519A9">
        <w:rPr>
          <w:b/>
          <w:bCs/>
          <w:highlight w:val="white"/>
        </w:rPr>
        <w:t xml:space="preserve"> DE LAS ADMINISTRACIONES PÚBLICAS COMPETENTES Y EL JUZGADO</w:t>
      </w:r>
    </w:p>
    <w:p w14:paraId="0D65497F" w14:textId="62BA7149" w:rsidR="00307EA3" w:rsidRPr="008519A9" w:rsidRDefault="001B2837">
      <w:pPr>
        <w:spacing w:before="240" w:after="200"/>
        <w:jc w:val="both"/>
        <w:rPr>
          <w:highlight w:val="white"/>
        </w:rPr>
      </w:pPr>
      <w:r w:rsidRPr="008519A9">
        <w:rPr>
          <w:highlight w:val="white"/>
        </w:rPr>
        <w:t xml:space="preserve">Que </w:t>
      </w:r>
      <w:r w:rsidR="00EC09DC" w:rsidRPr="008519A9">
        <w:rPr>
          <w:highlight w:val="white"/>
        </w:rPr>
        <w:t>tanto las Administraciones Públicas competentes como el presente Juzgado son conocedores de la situación de vulnerabilidad de la parte demanda</w:t>
      </w:r>
      <w:r w:rsidR="0027726D" w:rsidRPr="008519A9">
        <w:rPr>
          <w:highlight w:val="white"/>
        </w:rPr>
        <w:t>da</w:t>
      </w:r>
      <w:r w:rsidR="00307EA3" w:rsidRPr="008519A9">
        <w:rPr>
          <w:highlight w:val="white"/>
        </w:rPr>
        <w:t xml:space="preserve">, tal y como se desprende del informe de vulnerabilidad que se adjunta como </w:t>
      </w:r>
      <w:r w:rsidR="00307EA3" w:rsidRPr="008519A9">
        <w:rPr>
          <w:b/>
          <w:bCs/>
          <w:highlight w:val="white"/>
        </w:rPr>
        <w:t>Documento núm. 2</w:t>
      </w:r>
      <w:r w:rsidR="00307EA3" w:rsidRPr="008519A9">
        <w:rPr>
          <w:highlight w:val="white"/>
        </w:rPr>
        <w:t xml:space="preserve">. </w:t>
      </w:r>
    </w:p>
    <w:p w14:paraId="22C6C46B" w14:textId="347C0292" w:rsidR="002A4B94" w:rsidRPr="008519A9" w:rsidRDefault="00307EA3" w:rsidP="002A4B94">
      <w:pPr>
        <w:spacing w:before="240" w:after="200"/>
        <w:jc w:val="both"/>
        <w:rPr>
          <w:color w:val="388600"/>
          <w:highlight w:val="white"/>
        </w:rPr>
      </w:pPr>
      <w:r w:rsidRPr="008519A9">
        <w:rPr>
          <w:color w:val="388600"/>
          <w:highlight w:val="white"/>
        </w:rPr>
        <w:t xml:space="preserve">[Aportar informe de vulnerabilidad y </w:t>
      </w:r>
      <w:r w:rsidR="00FC1386">
        <w:rPr>
          <w:color w:val="388600"/>
          <w:highlight w:val="white"/>
        </w:rPr>
        <w:t xml:space="preserve">otros documentos y </w:t>
      </w:r>
      <w:r w:rsidR="00AA4EF3" w:rsidRPr="008519A9">
        <w:rPr>
          <w:color w:val="388600"/>
          <w:highlight w:val="white"/>
        </w:rPr>
        <w:t xml:space="preserve">explicar en qué consiste la situación de la vulnerabilidad – situación laboral, </w:t>
      </w:r>
      <w:r w:rsidR="00033CAA" w:rsidRPr="008519A9">
        <w:rPr>
          <w:color w:val="388600"/>
          <w:highlight w:val="white"/>
        </w:rPr>
        <w:t>falta de alternativas residenciales, ingresos económicos, enfermedades, discapacidades, situaciones de violencia de género y/o discriminación</w:t>
      </w:r>
      <w:r w:rsidR="00235883" w:rsidRPr="008519A9">
        <w:rPr>
          <w:color w:val="388600"/>
          <w:highlight w:val="white"/>
        </w:rPr>
        <w:t xml:space="preserve">, etc. </w:t>
      </w:r>
      <w:r w:rsidR="002A4B94" w:rsidRPr="008519A9">
        <w:rPr>
          <w:color w:val="388600"/>
          <w:highlight w:val="white"/>
        </w:rPr>
        <w:t>En caso de que no se cuente con el informe de vulnerabilidad de servicios sociales, se deberá solicitar</w:t>
      </w:r>
      <w:r w:rsidR="00235883" w:rsidRPr="008519A9">
        <w:rPr>
          <w:color w:val="388600"/>
          <w:highlight w:val="white"/>
        </w:rPr>
        <w:t xml:space="preserve"> que el Juzgado oficie a servicios sociales para que lo emita </w:t>
      </w:r>
      <w:r w:rsidR="002A4B94" w:rsidRPr="008519A9">
        <w:rPr>
          <w:color w:val="388600"/>
          <w:highlight w:val="white"/>
        </w:rPr>
        <w:t xml:space="preserve">conforme al artículo 441.5 de la LEC] </w:t>
      </w:r>
    </w:p>
    <w:p w14:paraId="75C2AF3F" w14:textId="1FBD8C42" w:rsidR="00033CAA" w:rsidRPr="008519A9" w:rsidRDefault="00881080">
      <w:pPr>
        <w:spacing w:before="240" w:after="200"/>
        <w:jc w:val="both"/>
        <w:rPr>
          <w:b/>
          <w:bCs/>
          <w:color w:val="000000" w:themeColor="text1"/>
          <w:highlight w:val="white"/>
        </w:rPr>
      </w:pPr>
      <w:r>
        <w:rPr>
          <w:b/>
          <w:bCs/>
          <w:color w:val="000000" w:themeColor="text1"/>
          <w:highlight w:val="white"/>
        </w:rPr>
        <w:t>CUARTA</w:t>
      </w:r>
      <w:r w:rsidR="00235883" w:rsidRPr="008519A9">
        <w:rPr>
          <w:b/>
          <w:bCs/>
          <w:color w:val="000000" w:themeColor="text1"/>
          <w:highlight w:val="white"/>
        </w:rPr>
        <w:t xml:space="preserve">. </w:t>
      </w:r>
      <w:r w:rsidR="00260D65" w:rsidRPr="008519A9">
        <w:rPr>
          <w:b/>
          <w:bCs/>
          <w:color w:val="000000" w:themeColor="text1"/>
          <w:highlight w:val="white"/>
        </w:rPr>
        <w:t>DESVIRTUA</w:t>
      </w:r>
      <w:r w:rsidR="00C16B02" w:rsidRPr="008519A9">
        <w:rPr>
          <w:b/>
          <w:bCs/>
          <w:color w:val="000000" w:themeColor="text1"/>
          <w:highlight w:val="white"/>
        </w:rPr>
        <w:t>CIÓ</w:t>
      </w:r>
      <w:r w:rsidR="00C74365" w:rsidRPr="008519A9">
        <w:rPr>
          <w:b/>
          <w:bCs/>
          <w:color w:val="000000" w:themeColor="text1"/>
          <w:highlight w:val="white"/>
        </w:rPr>
        <w:t>N</w:t>
      </w:r>
      <w:r w:rsidR="00C16B02" w:rsidRPr="008519A9">
        <w:rPr>
          <w:b/>
          <w:bCs/>
          <w:color w:val="000000" w:themeColor="text1"/>
          <w:highlight w:val="white"/>
        </w:rPr>
        <w:t xml:space="preserve"> DE LA PRESU</w:t>
      </w:r>
      <w:r w:rsidR="00C74365" w:rsidRPr="008519A9">
        <w:rPr>
          <w:b/>
          <w:bCs/>
          <w:color w:val="000000" w:themeColor="text1"/>
          <w:highlight w:val="white"/>
        </w:rPr>
        <w:t>N</w:t>
      </w:r>
      <w:r w:rsidR="00C16B02" w:rsidRPr="008519A9">
        <w:rPr>
          <w:b/>
          <w:bCs/>
          <w:color w:val="000000" w:themeColor="text1"/>
          <w:highlight w:val="white"/>
        </w:rPr>
        <w:t>CIÓ</w:t>
      </w:r>
      <w:r w:rsidR="00C74365" w:rsidRPr="008519A9">
        <w:rPr>
          <w:b/>
          <w:bCs/>
          <w:color w:val="000000" w:themeColor="text1"/>
          <w:highlight w:val="white"/>
        </w:rPr>
        <w:t>N</w:t>
      </w:r>
      <w:r w:rsidR="00C16B02" w:rsidRPr="008519A9">
        <w:rPr>
          <w:b/>
          <w:bCs/>
          <w:color w:val="000000" w:themeColor="text1"/>
          <w:highlight w:val="white"/>
        </w:rPr>
        <w:t xml:space="preserve"> JUDICIAL </w:t>
      </w:r>
      <w:r w:rsidR="00C74365" w:rsidRPr="008519A9">
        <w:rPr>
          <w:b/>
          <w:bCs/>
          <w:color w:val="000000" w:themeColor="text1"/>
          <w:highlight w:val="white"/>
        </w:rPr>
        <w:t>DE EXISTENCIA DE MEDIDAS DIGNAS DE REALOJO</w:t>
      </w:r>
    </w:p>
    <w:p w14:paraId="19378A85" w14:textId="2ACFC14F" w:rsidR="00AE0721" w:rsidRPr="008519A9" w:rsidRDefault="00AE0721">
      <w:pPr>
        <w:spacing w:before="240" w:after="200"/>
        <w:jc w:val="both"/>
        <w:rPr>
          <w:highlight w:val="white"/>
        </w:rPr>
      </w:pPr>
      <w:r w:rsidRPr="008519A9">
        <w:rPr>
          <w:b/>
          <w:bCs/>
          <w:highlight w:val="white"/>
        </w:rPr>
        <w:t>La ejecución de desalojos</w:t>
      </w:r>
      <w:r w:rsidRPr="008519A9">
        <w:rPr>
          <w:highlight w:val="white"/>
        </w:rPr>
        <w:t xml:space="preserve">, sean civiles, penales o administrativos, que implican la pérdida de la vivienda de colectivos vulnerables </w:t>
      </w:r>
      <w:r w:rsidRPr="008519A9">
        <w:rPr>
          <w:b/>
          <w:bCs/>
          <w:highlight w:val="white"/>
        </w:rPr>
        <w:t xml:space="preserve">se produce sobre la presunción judicial de que la </w:t>
      </w:r>
      <w:r w:rsidRPr="008519A9">
        <w:rPr>
          <w:b/>
          <w:bCs/>
          <w:highlight w:val="white"/>
        </w:rPr>
        <w:lastRenderedPageBreak/>
        <w:t xml:space="preserve">existencia de obligaciones de las administraciones públicas </w:t>
      </w:r>
      <w:r w:rsidRPr="008519A9">
        <w:rPr>
          <w:highlight w:val="white"/>
        </w:rPr>
        <w:t xml:space="preserve">para disponer de recursos públicos para atender estas situaciones - como mesas de emergencia, servicios sociales u otros organismos públicos, </w:t>
      </w:r>
      <w:r w:rsidRPr="008519A9">
        <w:rPr>
          <w:b/>
          <w:bCs/>
          <w:highlight w:val="white"/>
        </w:rPr>
        <w:t>comporta el efectivo realojo efectivo de las familias y personas afectadas por el lanzamiento</w:t>
      </w:r>
      <w:r w:rsidRPr="008519A9">
        <w:rPr>
          <w:highlight w:val="white"/>
        </w:rPr>
        <w:t>.</w:t>
      </w:r>
    </w:p>
    <w:p w14:paraId="6F506149" w14:textId="64A19048" w:rsidR="00235883" w:rsidRPr="008519A9" w:rsidRDefault="00AE0721">
      <w:pPr>
        <w:spacing w:before="240" w:after="200"/>
        <w:jc w:val="both"/>
        <w:rPr>
          <w:highlight w:val="white"/>
        </w:rPr>
      </w:pPr>
      <w:r w:rsidRPr="008519A9">
        <w:rPr>
          <w:highlight w:val="white"/>
        </w:rPr>
        <w:t>Sin embargo, el informe ‘Impacto de la moratoria de desahucios 2021-2023’ (Observatorio DESCA, 2024) analiza las medidas que se ofrecen desde servicios sociales en los casos de desahucios parados por la moratoria: solo un 3% de los casos serían a través de viviendas de protección oficial, y solo un 2% a través de recursos temporales</w:t>
      </w:r>
      <w:r w:rsidRPr="008519A9">
        <w:rPr>
          <w:rStyle w:val="Refernciadenotaapeudepgina"/>
          <w:highlight w:val="white"/>
        </w:rPr>
        <w:footnoteReference w:id="1"/>
      </w:r>
      <w:r w:rsidRPr="008519A9">
        <w:rPr>
          <w:highlight w:val="white"/>
        </w:rPr>
        <w:t>.</w:t>
      </w:r>
    </w:p>
    <w:p w14:paraId="29B72FFC" w14:textId="439A185B" w:rsidR="00C16B02" w:rsidRPr="008519A9" w:rsidRDefault="00475A18">
      <w:pPr>
        <w:spacing w:before="240" w:after="200"/>
        <w:jc w:val="both"/>
        <w:rPr>
          <w:color w:val="388600"/>
          <w:highlight w:val="white"/>
        </w:rPr>
      </w:pPr>
      <w:r w:rsidRPr="008519A9">
        <w:rPr>
          <w:color w:val="388600"/>
          <w:highlight w:val="white"/>
        </w:rPr>
        <w:t xml:space="preserve">[Escoger según municipio de residencia. En caso </w:t>
      </w:r>
      <w:r w:rsidR="00CC479A" w:rsidRPr="008519A9">
        <w:rPr>
          <w:color w:val="388600"/>
          <w:highlight w:val="white"/>
        </w:rPr>
        <w:t xml:space="preserve">de </w:t>
      </w:r>
      <w:r w:rsidRPr="008519A9">
        <w:rPr>
          <w:color w:val="388600"/>
          <w:highlight w:val="white"/>
        </w:rPr>
        <w:t>que sea otro distinto, completar con información disponible</w:t>
      </w:r>
      <w:r w:rsidR="00CC479A" w:rsidRPr="008519A9">
        <w:rPr>
          <w:color w:val="388600"/>
          <w:highlight w:val="white"/>
        </w:rPr>
        <w:t>, sea oficial, o bien sea de medios de comunicación</w:t>
      </w:r>
      <w:r w:rsidRPr="008519A9">
        <w:rPr>
          <w:color w:val="388600"/>
          <w:highlight w:val="white"/>
        </w:rPr>
        <w:t>]</w:t>
      </w:r>
    </w:p>
    <w:p w14:paraId="43BF3C8C" w14:textId="3E4BBBB5" w:rsidR="00C16B02" w:rsidRPr="008519A9" w:rsidRDefault="00086722">
      <w:pPr>
        <w:spacing w:before="240" w:after="200"/>
        <w:jc w:val="both"/>
      </w:pPr>
      <w:r w:rsidRPr="008519A9">
        <w:rPr>
          <w:b/>
          <w:bCs/>
          <w:color w:val="388600"/>
        </w:rPr>
        <w:t>(BARCELONA)</w:t>
      </w:r>
      <w:r w:rsidRPr="008519A9">
        <w:rPr>
          <w:color w:val="388600"/>
        </w:rPr>
        <w:t xml:space="preserve"> </w:t>
      </w:r>
      <w:r w:rsidR="00CC479A" w:rsidRPr="008519A9">
        <w:t xml:space="preserve">En el caso de </w:t>
      </w:r>
      <w:r w:rsidR="00CC479A" w:rsidRPr="008519A9">
        <w:rPr>
          <w:b/>
          <w:bCs/>
        </w:rPr>
        <w:t>Barcelona</w:t>
      </w:r>
      <w:r w:rsidR="00CC479A" w:rsidRPr="008519A9">
        <w:t>,</w:t>
      </w:r>
      <w:r w:rsidR="00FA2694" w:rsidRPr="008519A9">
        <w:t xml:space="preserve"> </w:t>
      </w:r>
      <w:r w:rsidR="00762389" w:rsidRPr="008519A9">
        <w:t xml:space="preserve">el nombre de adjudicaciones de la mesa de emergencia no se corresponde con el número de personas inscritas, ni con </w:t>
      </w:r>
      <w:r w:rsidR="002632BD" w:rsidRPr="008519A9">
        <w:t xml:space="preserve">el número total de lanzamientos practicados, tal y como se muestra en la siguiente tabla: </w:t>
      </w:r>
      <w:r w:rsidR="00762389" w:rsidRPr="008519A9">
        <w:t xml:space="preserve"> </w:t>
      </w:r>
    </w:p>
    <w:tbl>
      <w:tblPr>
        <w:tblStyle w:val="Taulaambquadrcula"/>
        <w:tblW w:w="0" w:type="auto"/>
        <w:jc w:val="center"/>
        <w:tblLayout w:type="fixed"/>
        <w:tblLook w:val="04A0" w:firstRow="1" w:lastRow="0" w:firstColumn="1" w:lastColumn="0" w:noHBand="0" w:noVBand="1"/>
      </w:tblPr>
      <w:tblGrid>
        <w:gridCol w:w="2122"/>
        <w:gridCol w:w="850"/>
        <w:gridCol w:w="851"/>
        <w:gridCol w:w="850"/>
        <w:gridCol w:w="851"/>
        <w:gridCol w:w="850"/>
        <w:gridCol w:w="851"/>
      </w:tblGrid>
      <w:tr w:rsidR="00C5042D" w:rsidRPr="008519A9" w14:paraId="24CACA76" w14:textId="121A9CA1" w:rsidTr="0095584D">
        <w:trPr>
          <w:jc w:val="center"/>
        </w:trPr>
        <w:tc>
          <w:tcPr>
            <w:tcW w:w="7225" w:type="dxa"/>
            <w:gridSpan w:val="7"/>
          </w:tcPr>
          <w:p w14:paraId="21F78570" w14:textId="4BDBBD06" w:rsidR="00C5042D" w:rsidRPr="008519A9" w:rsidRDefault="00C375CA">
            <w:pPr>
              <w:spacing w:before="240" w:after="200"/>
              <w:jc w:val="both"/>
              <w:rPr>
                <w:b/>
                <w:bCs/>
                <w:sz w:val="18"/>
                <w:szCs w:val="18"/>
                <w:highlight w:val="white"/>
              </w:rPr>
            </w:pPr>
            <w:r w:rsidRPr="008519A9">
              <w:rPr>
                <w:b/>
                <w:bCs/>
                <w:sz w:val="18"/>
                <w:szCs w:val="18"/>
                <w:highlight w:val="white"/>
              </w:rPr>
              <w:t>Tabla</w:t>
            </w:r>
            <w:r w:rsidR="00C5042D" w:rsidRPr="008519A9">
              <w:rPr>
                <w:b/>
                <w:bCs/>
                <w:sz w:val="18"/>
                <w:szCs w:val="18"/>
                <w:highlight w:val="white"/>
              </w:rPr>
              <w:t xml:space="preserve"> 1. </w:t>
            </w:r>
            <w:r w:rsidRPr="008519A9">
              <w:rPr>
                <w:b/>
                <w:bCs/>
                <w:sz w:val="18"/>
                <w:szCs w:val="18"/>
              </w:rPr>
              <w:t>Correspondencia entre número de desahucios y actuación de la mesa de valoración de situaciones de emergencias económicas y sociales de Barcelona</w:t>
            </w:r>
            <w:r w:rsidRPr="008519A9">
              <w:rPr>
                <w:rStyle w:val="Refernciadenotaapeudepgina"/>
                <w:b/>
                <w:bCs/>
                <w:sz w:val="18"/>
                <w:szCs w:val="18"/>
                <w:highlight w:val="white"/>
                <w:vertAlign w:val="baseline"/>
              </w:rPr>
              <w:t xml:space="preserve"> </w:t>
            </w:r>
            <w:r w:rsidR="0095584D" w:rsidRPr="008519A9">
              <w:rPr>
                <w:rStyle w:val="Refernciadenotaapeudepgina"/>
                <w:b/>
                <w:bCs/>
                <w:sz w:val="18"/>
                <w:szCs w:val="18"/>
                <w:highlight w:val="white"/>
              </w:rPr>
              <w:footnoteReference w:id="2"/>
            </w:r>
            <w:r w:rsidR="00C5042D" w:rsidRPr="008519A9">
              <w:rPr>
                <w:b/>
                <w:bCs/>
                <w:sz w:val="18"/>
                <w:szCs w:val="18"/>
                <w:highlight w:val="white"/>
              </w:rPr>
              <w:t xml:space="preserve"> </w:t>
            </w:r>
          </w:p>
        </w:tc>
      </w:tr>
      <w:tr w:rsidR="00C5042D" w:rsidRPr="008519A9" w14:paraId="1DE998C4" w14:textId="5953923A" w:rsidTr="0095584D">
        <w:trPr>
          <w:jc w:val="center"/>
        </w:trPr>
        <w:tc>
          <w:tcPr>
            <w:tcW w:w="2122" w:type="dxa"/>
          </w:tcPr>
          <w:p w14:paraId="207F392B" w14:textId="48BF28DD" w:rsidR="00C5042D" w:rsidRPr="008519A9" w:rsidRDefault="00C5042D">
            <w:pPr>
              <w:spacing w:before="240" w:after="200"/>
              <w:jc w:val="both"/>
              <w:rPr>
                <w:b/>
                <w:bCs/>
                <w:sz w:val="18"/>
                <w:szCs w:val="18"/>
                <w:highlight w:val="white"/>
              </w:rPr>
            </w:pPr>
            <w:r w:rsidRPr="008519A9">
              <w:rPr>
                <w:b/>
                <w:bCs/>
                <w:sz w:val="18"/>
                <w:szCs w:val="18"/>
                <w:highlight w:val="white"/>
              </w:rPr>
              <w:t>Año</w:t>
            </w:r>
          </w:p>
        </w:tc>
        <w:tc>
          <w:tcPr>
            <w:tcW w:w="850" w:type="dxa"/>
          </w:tcPr>
          <w:p w14:paraId="4BC0E6E9" w14:textId="6AF0468F" w:rsidR="00C5042D" w:rsidRPr="008519A9" w:rsidRDefault="00C5042D">
            <w:pPr>
              <w:spacing w:before="240" w:after="200"/>
              <w:jc w:val="both"/>
              <w:rPr>
                <w:b/>
                <w:bCs/>
                <w:sz w:val="18"/>
                <w:szCs w:val="18"/>
                <w:highlight w:val="white"/>
              </w:rPr>
            </w:pPr>
            <w:r w:rsidRPr="008519A9">
              <w:rPr>
                <w:b/>
                <w:bCs/>
                <w:sz w:val="18"/>
                <w:szCs w:val="18"/>
                <w:highlight w:val="white"/>
              </w:rPr>
              <w:t>2020</w:t>
            </w:r>
          </w:p>
        </w:tc>
        <w:tc>
          <w:tcPr>
            <w:tcW w:w="851" w:type="dxa"/>
          </w:tcPr>
          <w:p w14:paraId="42674CA4" w14:textId="1947BE44" w:rsidR="00C5042D" w:rsidRPr="008519A9" w:rsidRDefault="00C5042D">
            <w:pPr>
              <w:spacing w:before="240" w:after="200"/>
              <w:jc w:val="both"/>
              <w:rPr>
                <w:b/>
                <w:bCs/>
                <w:sz w:val="18"/>
                <w:szCs w:val="18"/>
                <w:highlight w:val="white"/>
              </w:rPr>
            </w:pPr>
            <w:r w:rsidRPr="008519A9">
              <w:rPr>
                <w:b/>
                <w:bCs/>
                <w:sz w:val="18"/>
                <w:szCs w:val="18"/>
                <w:highlight w:val="white"/>
              </w:rPr>
              <w:t>2021</w:t>
            </w:r>
          </w:p>
        </w:tc>
        <w:tc>
          <w:tcPr>
            <w:tcW w:w="850" w:type="dxa"/>
          </w:tcPr>
          <w:p w14:paraId="06B6088C" w14:textId="0C46EB66" w:rsidR="00C5042D" w:rsidRPr="008519A9" w:rsidRDefault="00C5042D">
            <w:pPr>
              <w:spacing w:before="240" w:after="200"/>
              <w:jc w:val="both"/>
              <w:rPr>
                <w:b/>
                <w:bCs/>
                <w:sz w:val="18"/>
                <w:szCs w:val="18"/>
                <w:highlight w:val="white"/>
              </w:rPr>
            </w:pPr>
            <w:r w:rsidRPr="008519A9">
              <w:rPr>
                <w:b/>
                <w:bCs/>
                <w:sz w:val="18"/>
                <w:szCs w:val="18"/>
                <w:highlight w:val="white"/>
              </w:rPr>
              <w:t>2022</w:t>
            </w:r>
          </w:p>
        </w:tc>
        <w:tc>
          <w:tcPr>
            <w:tcW w:w="851" w:type="dxa"/>
          </w:tcPr>
          <w:p w14:paraId="3914FCA9" w14:textId="7AD52265" w:rsidR="00C5042D" w:rsidRPr="008519A9" w:rsidRDefault="00C5042D">
            <w:pPr>
              <w:spacing w:before="240" w:after="200"/>
              <w:jc w:val="both"/>
              <w:rPr>
                <w:b/>
                <w:bCs/>
                <w:sz w:val="18"/>
                <w:szCs w:val="18"/>
                <w:highlight w:val="white"/>
              </w:rPr>
            </w:pPr>
            <w:r w:rsidRPr="008519A9">
              <w:rPr>
                <w:b/>
                <w:bCs/>
                <w:sz w:val="18"/>
                <w:szCs w:val="18"/>
                <w:highlight w:val="white"/>
              </w:rPr>
              <w:t>2023</w:t>
            </w:r>
          </w:p>
        </w:tc>
        <w:tc>
          <w:tcPr>
            <w:tcW w:w="850" w:type="dxa"/>
          </w:tcPr>
          <w:p w14:paraId="0FF3FACF" w14:textId="1BE6A97F" w:rsidR="00C5042D" w:rsidRPr="008519A9" w:rsidRDefault="00C5042D">
            <w:pPr>
              <w:spacing w:before="240" w:after="200"/>
              <w:jc w:val="both"/>
              <w:rPr>
                <w:b/>
                <w:bCs/>
                <w:sz w:val="18"/>
                <w:szCs w:val="18"/>
                <w:highlight w:val="white"/>
              </w:rPr>
            </w:pPr>
            <w:r w:rsidRPr="008519A9">
              <w:rPr>
                <w:b/>
                <w:bCs/>
                <w:sz w:val="18"/>
                <w:szCs w:val="18"/>
                <w:highlight w:val="white"/>
              </w:rPr>
              <w:t>2024</w:t>
            </w:r>
          </w:p>
        </w:tc>
        <w:tc>
          <w:tcPr>
            <w:tcW w:w="851" w:type="dxa"/>
          </w:tcPr>
          <w:p w14:paraId="761D925C" w14:textId="2BC71E7D" w:rsidR="00C5042D" w:rsidRPr="008519A9" w:rsidRDefault="00C5042D">
            <w:pPr>
              <w:spacing w:before="240" w:after="200"/>
              <w:jc w:val="both"/>
              <w:rPr>
                <w:b/>
                <w:bCs/>
                <w:sz w:val="18"/>
                <w:szCs w:val="18"/>
                <w:highlight w:val="white"/>
              </w:rPr>
            </w:pPr>
            <w:r w:rsidRPr="008519A9">
              <w:rPr>
                <w:b/>
                <w:bCs/>
                <w:sz w:val="18"/>
                <w:szCs w:val="18"/>
                <w:highlight w:val="white"/>
              </w:rPr>
              <w:t>2025</w:t>
            </w:r>
          </w:p>
        </w:tc>
      </w:tr>
      <w:tr w:rsidR="00C5042D" w:rsidRPr="008519A9" w14:paraId="6A178593" w14:textId="78FF8541" w:rsidTr="0095584D">
        <w:trPr>
          <w:jc w:val="center"/>
        </w:trPr>
        <w:tc>
          <w:tcPr>
            <w:tcW w:w="2122" w:type="dxa"/>
          </w:tcPr>
          <w:p w14:paraId="25964835" w14:textId="473C1C04" w:rsidR="00C5042D" w:rsidRPr="008519A9" w:rsidRDefault="00C5042D">
            <w:pPr>
              <w:spacing w:before="240" w:after="200"/>
              <w:jc w:val="both"/>
              <w:rPr>
                <w:b/>
                <w:bCs/>
                <w:sz w:val="18"/>
                <w:szCs w:val="18"/>
                <w:highlight w:val="white"/>
              </w:rPr>
            </w:pPr>
            <w:r w:rsidRPr="008519A9">
              <w:rPr>
                <w:b/>
                <w:bCs/>
                <w:sz w:val="18"/>
                <w:szCs w:val="18"/>
                <w:highlight w:val="white"/>
              </w:rPr>
              <w:t xml:space="preserve">Núm. </w:t>
            </w:r>
            <w:r w:rsidR="00C375CA" w:rsidRPr="008519A9">
              <w:rPr>
                <w:b/>
                <w:bCs/>
                <w:sz w:val="18"/>
                <w:szCs w:val="18"/>
                <w:highlight w:val="white"/>
              </w:rPr>
              <w:t>lanzamientos ejecutados</w:t>
            </w:r>
            <w:r w:rsidRPr="008519A9">
              <w:rPr>
                <w:b/>
                <w:bCs/>
                <w:sz w:val="18"/>
                <w:szCs w:val="18"/>
                <w:highlight w:val="white"/>
              </w:rPr>
              <w:t xml:space="preserve"> </w:t>
            </w:r>
          </w:p>
        </w:tc>
        <w:tc>
          <w:tcPr>
            <w:tcW w:w="850" w:type="dxa"/>
          </w:tcPr>
          <w:p w14:paraId="115CEB27" w14:textId="2543E640" w:rsidR="00C5042D" w:rsidRPr="008519A9" w:rsidRDefault="00C5042D">
            <w:pPr>
              <w:spacing w:before="240" w:after="200"/>
              <w:jc w:val="both"/>
              <w:rPr>
                <w:sz w:val="18"/>
                <w:szCs w:val="18"/>
                <w:highlight w:val="white"/>
              </w:rPr>
            </w:pPr>
            <w:r w:rsidRPr="008519A9">
              <w:rPr>
                <w:sz w:val="18"/>
                <w:szCs w:val="18"/>
                <w:highlight w:val="white"/>
              </w:rPr>
              <w:t>1.028</w:t>
            </w:r>
          </w:p>
        </w:tc>
        <w:tc>
          <w:tcPr>
            <w:tcW w:w="851" w:type="dxa"/>
          </w:tcPr>
          <w:p w14:paraId="34B5FF1A" w14:textId="7DCB3136" w:rsidR="00C5042D" w:rsidRPr="008519A9" w:rsidRDefault="00C5042D">
            <w:pPr>
              <w:spacing w:before="240" w:after="200"/>
              <w:jc w:val="both"/>
              <w:rPr>
                <w:sz w:val="18"/>
                <w:szCs w:val="18"/>
                <w:highlight w:val="white"/>
              </w:rPr>
            </w:pPr>
            <w:r w:rsidRPr="008519A9">
              <w:rPr>
                <w:sz w:val="18"/>
                <w:szCs w:val="18"/>
                <w:highlight w:val="white"/>
              </w:rPr>
              <w:t>1.755</w:t>
            </w:r>
          </w:p>
        </w:tc>
        <w:tc>
          <w:tcPr>
            <w:tcW w:w="850" w:type="dxa"/>
          </w:tcPr>
          <w:p w14:paraId="471E8E49" w14:textId="45544154" w:rsidR="00C5042D" w:rsidRPr="008519A9" w:rsidRDefault="001D218A">
            <w:pPr>
              <w:spacing w:before="240" w:after="200"/>
              <w:jc w:val="both"/>
              <w:rPr>
                <w:sz w:val="18"/>
                <w:szCs w:val="18"/>
                <w:highlight w:val="white"/>
              </w:rPr>
            </w:pPr>
            <w:r w:rsidRPr="008519A9">
              <w:rPr>
                <w:sz w:val="18"/>
                <w:szCs w:val="18"/>
                <w:highlight w:val="white"/>
              </w:rPr>
              <w:t>1.531</w:t>
            </w:r>
          </w:p>
        </w:tc>
        <w:tc>
          <w:tcPr>
            <w:tcW w:w="851" w:type="dxa"/>
          </w:tcPr>
          <w:p w14:paraId="3A6818DA" w14:textId="1C606A0B" w:rsidR="00C5042D" w:rsidRPr="008519A9" w:rsidRDefault="001D218A">
            <w:pPr>
              <w:spacing w:before="240" w:after="200"/>
              <w:jc w:val="both"/>
              <w:rPr>
                <w:sz w:val="18"/>
                <w:szCs w:val="18"/>
                <w:highlight w:val="white"/>
              </w:rPr>
            </w:pPr>
            <w:r w:rsidRPr="008519A9">
              <w:rPr>
                <w:sz w:val="18"/>
                <w:szCs w:val="18"/>
                <w:highlight w:val="white"/>
              </w:rPr>
              <w:t>1.255</w:t>
            </w:r>
          </w:p>
        </w:tc>
        <w:tc>
          <w:tcPr>
            <w:tcW w:w="850" w:type="dxa"/>
          </w:tcPr>
          <w:p w14:paraId="45084A4F" w14:textId="735ADB5B" w:rsidR="00C5042D" w:rsidRPr="008519A9" w:rsidRDefault="001D218A">
            <w:pPr>
              <w:spacing w:before="240" w:after="200"/>
              <w:jc w:val="both"/>
              <w:rPr>
                <w:sz w:val="18"/>
                <w:szCs w:val="18"/>
                <w:highlight w:val="white"/>
              </w:rPr>
            </w:pPr>
            <w:r w:rsidRPr="008519A9">
              <w:rPr>
                <w:sz w:val="18"/>
                <w:szCs w:val="18"/>
                <w:highlight w:val="white"/>
              </w:rPr>
              <w:t>1.331</w:t>
            </w:r>
          </w:p>
        </w:tc>
        <w:tc>
          <w:tcPr>
            <w:tcW w:w="851" w:type="dxa"/>
          </w:tcPr>
          <w:p w14:paraId="7DA80585" w14:textId="02742EAA" w:rsidR="00C5042D" w:rsidRPr="008519A9" w:rsidRDefault="001D218A">
            <w:pPr>
              <w:spacing w:before="240" w:after="200"/>
              <w:jc w:val="both"/>
              <w:rPr>
                <w:sz w:val="18"/>
                <w:szCs w:val="18"/>
                <w:highlight w:val="white"/>
              </w:rPr>
            </w:pPr>
            <w:r w:rsidRPr="008519A9">
              <w:rPr>
                <w:sz w:val="18"/>
                <w:szCs w:val="18"/>
                <w:highlight w:val="white"/>
              </w:rPr>
              <w:t>1.373</w:t>
            </w:r>
          </w:p>
        </w:tc>
      </w:tr>
      <w:tr w:rsidR="00C5042D" w:rsidRPr="008519A9" w14:paraId="1B7CBFF3" w14:textId="6D9E3E4C" w:rsidTr="0095584D">
        <w:trPr>
          <w:jc w:val="center"/>
        </w:trPr>
        <w:tc>
          <w:tcPr>
            <w:tcW w:w="2122" w:type="dxa"/>
          </w:tcPr>
          <w:p w14:paraId="236C402E" w14:textId="7F2477EE" w:rsidR="00C5042D" w:rsidRPr="008519A9" w:rsidRDefault="00C5042D">
            <w:pPr>
              <w:spacing w:before="240" w:after="200"/>
              <w:jc w:val="both"/>
              <w:rPr>
                <w:b/>
                <w:bCs/>
                <w:sz w:val="18"/>
                <w:szCs w:val="18"/>
                <w:highlight w:val="white"/>
              </w:rPr>
            </w:pPr>
            <w:r w:rsidRPr="008519A9">
              <w:rPr>
                <w:b/>
                <w:bCs/>
                <w:sz w:val="18"/>
                <w:szCs w:val="18"/>
                <w:highlight w:val="white"/>
              </w:rPr>
              <w:t>Núm. expedient</w:t>
            </w:r>
            <w:r w:rsidR="00C375CA" w:rsidRPr="008519A9">
              <w:rPr>
                <w:b/>
                <w:bCs/>
                <w:sz w:val="18"/>
                <w:szCs w:val="18"/>
                <w:highlight w:val="white"/>
              </w:rPr>
              <w:t>e</w:t>
            </w:r>
            <w:r w:rsidRPr="008519A9">
              <w:rPr>
                <w:b/>
                <w:bCs/>
                <w:sz w:val="18"/>
                <w:szCs w:val="18"/>
                <w:highlight w:val="white"/>
              </w:rPr>
              <w:t>s de la mesa de valoració</w:t>
            </w:r>
            <w:r w:rsidR="00C375CA" w:rsidRPr="008519A9">
              <w:rPr>
                <w:b/>
                <w:bCs/>
                <w:sz w:val="18"/>
                <w:szCs w:val="18"/>
                <w:highlight w:val="white"/>
              </w:rPr>
              <w:t>n</w:t>
            </w:r>
            <w:r w:rsidR="00E803E3" w:rsidRPr="008519A9">
              <w:rPr>
                <w:rStyle w:val="Refernciadenotaapeudepgina"/>
                <w:b/>
                <w:bCs/>
                <w:sz w:val="18"/>
                <w:szCs w:val="18"/>
                <w:highlight w:val="white"/>
              </w:rPr>
              <w:footnoteReference w:id="3"/>
            </w:r>
          </w:p>
        </w:tc>
        <w:tc>
          <w:tcPr>
            <w:tcW w:w="850" w:type="dxa"/>
          </w:tcPr>
          <w:p w14:paraId="0AE6EE25" w14:textId="77492821" w:rsidR="00C5042D" w:rsidRPr="008519A9" w:rsidRDefault="00140FA3" w:rsidP="00A5055C">
            <w:pPr>
              <w:spacing w:before="240" w:after="200"/>
              <w:jc w:val="center"/>
              <w:rPr>
                <w:sz w:val="18"/>
                <w:szCs w:val="18"/>
                <w:highlight w:val="white"/>
              </w:rPr>
            </w:pPr>
            <w:r w:rsidRPr="008519A9">
              <w:rPr>
                <w:sz w:val="18"/>
                <w:szCs w:val="18"/>
                <w:highlight w:val="white"/>
              </w:rPr>
              <w:t>660</w:t>
            </w:r>
          </w:p>
        </w:tc>
        <w:tc>
          <w:tcPr>
            <w:tcW w:w="851" w:type="dxa"/>
          </w:tcPr>
          <w:p w14:paraId="584AB537" w14:textId="51F9C4F9" w:rsidR="00C5042D" w:rsidRPr="008519A9" w:rsidRDefault="00140FA3">
            <w:pPr>
              <w:spacing w:before="240" w:after="200"/>
              <w:jc w:val="both"/>
              <w:rPr>
                <w:sz w:val="18"/>
                <w:szCs w:val="18"/>
                <w:highlight w:val="white"/>
              </w:rPr>
            </w:pPr>
            <w:r w:rsidRPr="008519A9">
              <w:rPr>
                <w:sz w:val="18"/>
                <w:szCs w:val="18"/>
                <w:highlight w:val="white"/>
              </w:rPr>
              <w:t>652</w:t>
            </w:r>
          </w:p>
        </w:tc>
        <w:tc>
          <w:tcPr>
            <w:tcW w:w="850" w:type="dxa"/>
          </w:tcPr>
          <w:p w14:paraId="12FC5455" w14:textId="6D1FABC8" w:rsidR="00C5042D" w:rsidRPr="008519A9" w:rsidRDefault="00140FA3">
            <w:pPr>
              <w:spacing w:before="240" w:after="200"/>
              <w:jc w:val="both"/>
              <w:rPr>
                <w:sz w:val="18"/>
                <w:szCs w:val="18"/>
                <w:highlight w:val="white"/>
              </w:rPr>
            </w:pPr>
            <w:r w:rsidRPr="008519A9">
              <w:rPr>
                <w:sz w:val="18"/>
                <w:szCs w:val="18"/>
                <w:highlight w:val="white"/>
              </w:rPr>
              <w:t>738</w:t>
            </w:r>
          </w:p>
        </w:tc>
        <w:tc>
          <w:tcPr>
            <w:tcW w:w="851" w:type="dxa"/>
          </w:tcPr>
          <w:p w14:paraId="721F3322" w14:textId="665DED0A" w:rsidR="00C5042D" w:rsidRPr="008519A9" w:rsidRDefault="00737888">
            <w:pPr>
              <w:spacing w:before="240" w:after="200"/>
              <w:jc w:val="both"/>
              <w:rPr>
                <w:sz w:val="18"/>
                <w:szCs w:val="18"/>
                <w:highlight w:val="white"/>
              </w:rPr>
            </w:pPr>
            <w:r w:rsidRPr="008519A9">
              <w:rPr>
                <w:sz w:val="18"/>
                <w:szCs w:val="18"/>
                <w:highlight w:val="white"/>
              </w:rPr>
              <w:t>763</w:t>
            </w:r>
          </w:p>
        </w:tc>
        <w:tc>
          <w:tcPr>
            <w:tcW w:w="850" w:type="dxa"/>
          </w:tcPr>
          <w:p w14:paraId="4516EC87" w14:textId="059738F9" w:rsidR="00C5042D" w:rsidRPr="008519A9" w:rsidRDefault="00737888">
            <w:pPr>
              <w:spacing w:before="240" w:after="200"/>
              <w:jc w:val="both"/>
              <w:rPr>
                <w:sz w:val="18"/>
                <w:szCs w:val="18"/>
                <w:highlight w:val="white"/>
              </w:rPr>
            </w:pPr>
            <w:r w:rsidRPr="008519A9">
              <w:rPr>
                <w:sz w:val="18"/>
                <w:szCs w:val="18"/>
                <w:highlight w:val="white"/>
              </w:rPr>
              <w:t>727</w:t>
            </w:r>
          </w:p>
        </w:tc>
        <w:tc>
          <w:tcPr>
            <w:tcW w:w="851" w:type="dxa"/>
          </w:tcPr>
          <w:p w14:paraId="6AC8E6AA" w14:textId="7082C077" w:rsidR="00C5042D" w:rsidRPr="008519A9" w:rsidRDefault="004E5174">
            <w:pPr>
              <w:spacing w:before="240" w:after="200"/>
              <w:jc w:val="both"/>
              <w:rPr>
                <w:sz w:val="18"/>
                <w:szCs w:val="18"/>
                <w:highlight w:val="white"/>
              </w:rPr>
            </w:pPr>
            <w:r w:rsidRPr="008519A9">
              <w:rPr>
                <w:sz w:val="18"/>
                <w:szCs w:val="18"/>
                <w:highlight w:val="white"/>
              </w:rPr>
              <w:t>766</w:t>
            </w:r>
          </w:p>
        </w:tc>
      </w:tr>
      <w:tr w:rsidR="00C5042D" w:rsidRPr="008519A9" w14:paraId="6AA9FD1D" w14:textId="3CF86DE9" w:rsidTr="0095584D">
        <w:trPr>
          <w:jc w:val="center"/>
        </w:trPr>
        <w:tc>
          <w:tcPr>
            <w:tcW w:w="2122" w:type="dxa"/>
          </w:tcPr>
          <w:p w14:paraId="1BDC9D01" w14:textId="59377FDD" w:rsidR="0069779C" w:rsidRPr="008519A9" w:rsidRDefault="00C5042D">
            <w:pPr>
              <w:spacing w:before="240" w:after="200"/>
              <w:jc w:val="both"/>
              <w:rPr>
                <w:b/>
                <w:bCs/>
                <w:sz w:val="18"/>
                <w:szCs w:val="18"/>
                <w:highlight w:val="white"/>
              </w:rPr>
            </w:pPr>
            <w:r w:rsidRPr="008519A9">
              <w:rPr>
                <w:b/>
                <w:bCs/>
                <w:sz w:val="18"/>
                <w:szCs w:val="18"/>
                <w:highlight w:val="white"/>
              </w:rPr>
              <w:t xml:space="preserve">Núm. </w:t>
            </w:r>
            <w:r w:rsidR="00C375CA" w:rsidRPr="008519A9">
              <w:rPr>
                <w:b/>
                <w:bCs/>
                <w:sz w:val="18"/>
                <w:szCs w:val="18"/>
                <w:highlight w:val="white"/>
              </w:rPr>
              <w:t>expedientes</w:t>
            </w:r>
            <w:r w:rsidRPr="008519A9">
              <w:rPr>
                <w:b/>
                <w:bCs/>
                <w:sz w:val="18"/>
                <w:szCs w:val="18"/>
                <w:highlight w:val="white"/>
              </w:rPr>
              <w:t xml:space="preserve"> </w:t>
            </w:r>
            <w:r w:rsidR="00C375CA" w:rsidRPr="008519A9">
              <w:rPr>
                <w:b/>
                <w:bCs/>
                <w:sz w:val="18"/>
                <w:szCs w:val="18"/>
                <w:highlight w:val="white"/>
              </w:rPr>
              <w:t>con vivienda adjudicada</w:t>
            </w:r>
          </w:p>
        </w:tc>
        <w:tc>
          <w:tcPr>
            <w:tcW w:w="850" w:type="dxa"/>
          </w:tcPr>
          <w:p w14:paraId="797FED07" w14:textId="2DB4C47D" w:rsidR="00C5042D" w:rsidRPr="008519A9" w:rsidRDefault="00140FA3">
            <w:pPr>
              <w:spacing w:before="240" w:after="200"/>
              <w:jc w:val="both"/>
              <w:rPr>
                <w:sz w:val="18"/>
                <w:szCs w:val="18"/>
                <w:highlight w:val="white"/>
              </w:rPr>
            </w:pPr>
            <w:r w:rsidRPr="008519A9">
              <w:rPr>
                <w:sz w:val="18"/>
                <w:szCs w:val="18"/>
                <w:highlight w:val="white"/>
              </w:rPr>
              <w:t>154</w:t>
            </w:r>
          </w:p>
        </w:tc>
        <w:tc>
          <w:tcPr>
            <w:tcW w:w="851" w:type="dxa"/>
          </w:tcPr>
          <w:p w14:paraId="3BB51231" w14:textId="7F21C8B3" w:rsidR="00C5042D" w:rsidRPr="008519A9" w:rsidRDefault="00140FA3">
            <w:pPr>
              <w:spacing w:before="240" w:after="200"/>
              <w:jc w:val="both"/>
              <w:rPr>
                <w:sz w:val="18"/>
                <w:szCs w:val="18"/>
                <w:highlight w:val="white"/>
              </w:rPr>
            </w:pPr>
            <w:r w:rsidRPr="008519A9">
              <w:rPr>
                <w:sz w:val="18"/>
                <w:szCs w:val="18"/>
                <w:highlight w:val="white"/>
              </w:rPr>
              <w:t>228</w:t>
            </w:r>
          </w:p>
        </w:tc>
        <w:tc>
          <w:tcPr>
            <w:tcW w:w="850" w:type="dxa"/>
          </w:tcPr>
          <w:p w14:paraId="6C3BA651" w14:textId="5A59E3BB" w:rsidR="00C5042D" w:rsidRPr="008519A9" w:rsidRDefault="00140FA3">
            <w:pPr>
              <w:spacing w:before="240" w:after="200"/>
              <w:jc w:val="both"/>
              <w:rPr>
                <w:sz w:val="18"/>
                <w:szCs w:val="18"/>
                <w:highlight w:val="white"/>
              </w:rPr>
            </w:pPr>
            <w:r w:rsidRPr="008519A9">
              <w:rPr>
                <w:sz w:val="18"/>
                <w:szCs w:val="18"/>
                <w:highlight w:val="white"/>
              </w:rPr>
              <w:t>265</w:t>
            </w:r>
          </w:p>
        </w:tc>
        <w:tc>
          <w:tcPr>
            <w:tcW w:w="851" w:type="dxa"/>
          </w:tcPr>
          <w:p w14:paraId="6D2FEBED" w14:textId="620BB025" w:rsidR="00C5042D" w:rsidRPr="008519A9" w:rsidRDefault="00737888">
            <w:pPr>
              <w:spacing w:before="240" w:after="200"/>
              <w:jc w:val="both"/>
              <w:rPr>
                <w:sz w:val="18"/>
                <w:szCs w:val="18"/>
                <w:highlight w:val="white"/>
              </w:rPr>
            </w:pPr>
            <w:r w:rsidRPr="008519A9">
              <w:rPr>
                <w:sz w:val="18"/>
                <w:szCs w:val="18"/>
                <w:highlight w:val="white"/>
              </w:rPr>
              <w:t>192</w:t>
            </w:r>
          </w:p>
        </w:tc>
        <w:tc>
          <w:tcPr>
            <w:tcW w:w="850" w:type="dxa"/>
          </w:tcPr>
          <w:p w14:paraId="2C87A3F7" w14:textId="46C3974D" w:rsidR="00C5042D" w:rsidRPr="008519A9" w:rsidRDefault="00737888">
            <w:pPr>
              <w:spacing w:before="240" w:after="200"/>
              <w:jc w:val="both"/>
              <w:rPr>
                <w:sz w:val="18"/>
                <w:szCs w:val="18"/>
                <w:highlight w:val="white"/>
              </w:rPr>
            </w:pPr>
            <w:r w:rsidRPr="008519A9">
              <w:rPr>
                <w:sz w:val="18"/>
                <w:szCs w:val="18"/>
                <w:highlight w:val="white"/>
              </w:rPr>
              <w:t>175</w:t>
            </w:r>
          </w:p>
        </w:tc>
        <w:tc>
          <w:tcPr>
            <w:tcW w:w="851" w:type="dxa"/>
          </w:tcPr>
          <w:p w14:paraId="219D461C" w14:textId="455C2D86" w:rsidR="00C5042D" w:rsidRPr="008519A9" w:rsidRDefault="001A5981">
            <w:pPr>
              <w:spacing w:before="240" w:after="200"/>
              <w:jc w:val="both"/>
              <w:rPr>
                <w:sz w:val="18"/>
                <w:szCs w:val="18"/>
                <w:highlight w:val="white"/>
              </w:rPr>
            </w:pPr>
            <w:r w:rsidRPr="008519A9">
              <w:rPr>
                <w:sz w:val="18"/>
                <w:szCs w:val="18"/>
                <w:highlight w:val="white"/>
              </w:rPr>
              <w:t>133</w:t>
            </w:r>
          </w:p>
        </w:tc>
      </w:tr>
      <w:tr w:rsidR="001546F4" w:rsidRPr="008519A9" w14:paraId="100C4CC6" w14:textId="77777777" w:rsidTr="0095584D">
        <w:trPr>
          <w:jc w:val="center"/>
        </w:trPr>
        <w:tc>
          <w:tcPr>
            <w:tcW w:w="2122" w:type="dxa"/>
          </w:tcPr>
          <w:p w14:paraId="37D17338" w14:textId="5903DE25" w:rsidR="001546F4" w:rsidRPr="008519A9" w:rsidRDefault="00C375CA" w:rsidP="001546F4">
            <w:pPr>
              <w:spacing w:before="240" w:after="200"/>
              <w:jc w:val="both"/>
              <w:rPr>
                <w:b/>
                <w:bCs/>
                <w:sz w:val="18"/>
                <w:szCs w:val="18"/>
                <w:highlight w:val="white"/>
              </w:rPr>
            </w:pPr>
            <w:r w:rsidRPr="008519A9">
              <w:rPr>
                <w:b/>
                <w:bCs/>
                <w:sz w:val="18"/>
                <w:szCs w:val="18"/>
                <w:highlight w:val="white"/>
              </w:rPr>
              <w:t xml:space="preserve">Porcentaje de viviendas adjudicadas respecto el número de expedientes de la mesa </w:t>
            </w:r>
            <w:r w:rsidR="001C027E" w:rsidRPr="008519A9">
              <w:rPr>
                <w:b/>
                <w:bCs/>
                <w:sz w:val="18"/>
                <w:szCs w:val="18"/>
                <w:highlight w:val="white"/>
              </w:rPr>
              <w:t>(%)</w:t>
            </w:r>
          </w:p>
        </w:tc>
        <w:tc>
          <w:tcPr>
            <w:tcW w:w="850" w:type="dxa"/>
            <w:vAlign w:val="center"/>
          </w:tcPr>
          <w:p w14:paraId="793E0747" w14:textId="6BCFCE71" w:rsidR="001546F4" w:rsidRPr="008519A9" w:rsidRDefault="001546F4" w:rsidP="001546F4">
            <w:pPr>
              <w:spacing w:before="240" w:after="200"/>
              <w:jc w:val="both"/>
              <w:rPr>
                <w:sz w:val="18"/>
                <w:szCs w:val="18"/>
                <w:highlight w:val="white"/>
              </w:rPr>
            </w:pPr>
            <w:r w:rsidRPr="008519A9">
              <w:rPr>
                <w:color w:val="000000"/>
                <w:sz w:val="18"/>
                <w:szCs w:val="18"/>
              </w:rPr>
              <w:t>23</w:t>
            </w:r>
            <w:r w:rsidR="00A15289" w:rsidRPr="008519A9">
              <w:rPr>
                <w:color w:val="000000"/>
                <w:sz w:val="18"/>
                <w:szCs w:val="18"/>
              </w:rPr>
              <w:t>,3</w:t>
            </w:r>
          </w:p>
        </w:tc>
        <w:tc>
          <w:tcPr>
            <w:tcW w:w="851" w:type="dxa"/>
            <w:vAlign w:val="center"/>
          </w:tcPr>
          <w:p w14:paraId="5BAA2A20" w14:textId="7D42DC4C" w:rsidR="001546F4" w:rsidRPr="008519A9" w:rsidRDefault="001546F4" w:rsidP="001546F4">
            <w:pPr>
              <w:spacing w:before="240" w:after="200"/>
              <w:jc w:val="both"/>
              <w:rPr>
                <w:sz w:val="18"/>
                <w:szCs w:val="18"/>
                <w:highlight w:val="white"/>
              </w:rPr>
            </w:pPr>
            <w:r w:rsidRPr="008519A9">
              <w:rPr>
                <w:color w:val="000000"/>
                <w:sz w:val="18"/>
                <w:szCs w:val="18"/>
                <w:highlight w:val="white"/>
              </w:rPr>
              <w:t>34</w:t>
            </w:r>
            <w:r w:rsidR="00A15289" w:rsidRPr="008519A9">
              <w:rPr>
                <w:color w:val="000000"/>
                <w:sz w:val="18"/>
                <w:szCs w:val="18"/>
                <w:highlight w:val="white"/>
              </w:rPr>
              <w:t>,9</w:t>
            </w:r>
          </w:p>
        </w:tc>
        <w:tc>
          <w:tcPr>
            <w:tcW w:w="850" w:type="dxa"/>
            <w:vAlign w:val="center"/>
          </w:tcPr>
          <w:p w14:paraId="2A1EE6DE" w14:textId="71888CF9" w:rsidR="001546F4" w:rsidRPr="008519A9" w:rsidRDefault="001546F4" w:rsidP="001546F4">
            <w:pPr>
              <w:spacing w:before="240" w:after="200"/>
              <w:jc w:val="both"/>
              <w:rPr>
                <w:sz w:val="18"/>
                <w:szCs w:val="18"/>
                <w:highlight w:val="white"/>
              </w:rPr>
            </w:pPr>
            <w:r w:rsidRPr="008519A9">
              <w:rPr>
                <w:color w:val="000000"/>
                <w:sz w:val="18"/>
                <w:szCs w:val="18"/>
                <w:highlight w:val="white"/>
              </w:rPr>
              <w:t>35</w:t>
            </w:r>
            <w:r w:rsidR="00A01098" w:rsidRPr="008519A9">
              <w:rPr>
                <w:color w:val="000000"/>
                <w:sz w:val="18"/>
                <w:szCs w:val="18"/>
                <w:highlight w:val="white"/>
              </w:rPr>
              <w:t>,9</w:t>
            </w:r>
          </w:p>
        </w:tc>
        <w:tc>
          <w:tcPr>
            <w:tcW w:w="851" w:type="dxa"/>
            <w:vAlign w:val="center"/>
          </w:tcPr>
          <w:p w14:paraId="7E8B92EF" w14:textId="266D3670" w:rsidR="001546F4" w:rsidRPr="008519A9" w:rsidRDefault="001546F4" w:rsidP="001546F4">
            <w:pPr>
              <w:spacing w:before="240" w:after="200"/>
              <w:jc w:val="both"/>
              <w:rPr>
                <w:sz w:val="18"/>
                <w:szCs w:val="18"/>
                <w:highlight w:val="white"/>
              </w:rPr>
            </w:pPr>
            <w:r w:rsidRPr="008519A9">
              <w:rPr>
                <w:color w:val="000000"/>
                <w:sz w:val="18"/>
                <w:szCs w:val="18"/>
                <w:highlight w:val="white"/>
              </w:rPr>
              <w:t>25</w:t>
            </w:r>
            <w:r w:rsidR="00A01098" w:rsidRPr="008519A9">
              <w:rPr>
                <w:color w:val="000000"/>
                <w:sz w:val="18"/>
                <w:szCs w:val="18"/>
                <w:highlight w:val="white"/>
              </w:rPr>
              <w:t>,1</w:t>
            </w:r>
          </w:p>
        </w:tc>
        <w:tc>
          <w:tcPr>
            <w:tcW w:w="850" w:type="dxa"/>
            <w:vAlign w:val="center"/>
          </w:tcPr>
          <w:p w14:paraId="4B90D52F" w14:textId="42E825F4" w:rsidR="001546F4" w:rsidRPr="008519A9" w:rsidRDefault="004A316A" w:rsidP="001546F4">
            <w:pPr>
              <w:spacing w:before="240" w:after="200"/>
              <w:jc w:val="both"/>
              <w:rPr>
                <w:sz w:val="18"/>
                <w:szCs w:val="18"/>
                <w:highlight w:val="white"/>
              </w:rPr>
            </w:pPr>
            <w:r w:rsidRPr="008519A9">
              <w:rPr>
                <w:color w:val="000000"/>
                <w:sz w:val="18"/>
                <w:szCs w:val="18"/>
                <w:highlight w:val="white"/>
              </w:rPr>
              <w:t>24,07</w:t>
            </w:r>
          </w:p>
        </w:tc>
        <w:tc>
          <w:tcPr>
            <w:tcW w:w="851" w:type="dxa"/>
            <w:vAlign w:val="center"/>
          </w:tcPr>
          <w:p w14:paraId="0E4F3761" w14:textId="01A7D11B" w:rsidR="001546F4" w:rsidRPr="008519A9" w:rsidRDefault="001546F4" w:rsidP="001546F4">
            <w:pPr>
              <w:spacing w:before="240" w:after="200"/>
              <w:jc w:val="both"/>
              <w:rPr>
                <w:sz w:val="18"/>
                <w:szCs w:val="18"/>
                <w:highlight w:val="white"/>
              </w:rPr>
            </w:pPr>
            <w:r w:rsidRPr="008519A9">
              <w:rPr>
                <w:color w:val="000000"/>
                <w:sz w:val="18"/>
                <w:szCs w:val="18"/>
                <w:highlight w:val="white"/>
              </w:rPr>
              <w:t>17</w:t>
            </w:r>
            <w:r w:rsidR="004A316A" w:rsidRPr="008519A9">
              <w:rPr>
                <w:color w:val="000000"/>
                <w:sz w:val="18"/>
                <w:szCs w:val="18"/>
                <w:highlight w:val="white"/>
              </w:rPr>
              <w:t>,3</w:t>
            </w:r>
          </w:p>
        </w:tc>
      </w:tr>
      <w:tr w:rsidR="001546F4" w:rsidRPr="008519A9" w14:paraId="7347E4E0" w14:textId="77777777" w:rsidTr="0095584D">
        <w:trPr>
          <w:jc w:val="center"/>
        </w:trPr>
        <w:tc>
          <w:tcPr>
            <w:tcW w:w="2122" w:type="dxa"/>
          </w:tcPr>
          <w:p w14:paraId="48AF0843" w14:textId="751B29FC" w:rsidR="001546F4" w:rsidRPr="008519A9" w:rsidRDefault="00C375CA" w:rsidP="001546F4">
            <w:pPr>
              <w:spacing w:before="240" w:after="200"/>
              <w:jc w:val="both"/>
              <w:rPr>
                <w:b/>
                <w:bCs/>
                <w:sz w:val="18"/>
                <w:szCs w:val="18"/>
                <w:highlight w:val="white"/>
              </w:rPr>
            </w:pPr>
            <w:r w:rsidRPr="008519A9">
              <w:rPr>
                <w:b/>
                <w:bCs/>
                <w:sz w:val="18"/>
                <w:szCs w:val="18"/>
                <w:highlight w:val="white"/>
              </w:rPr>
              <w:t xml:space="preserve">Porcentaje de viviendas adjudicadas respecto el total de </w:t>
            </w:r>
            <w:r w:rsidRPr="008519A9">
              <w:rPr>
                <w:b/>
                <w:bCs/>
                <w:sz w:val="18"/>
                <w:szCs w:val="18"/>
                <w:highlight w:val="white"/>
              </w:rPr>
              <w:lastRenderedPageBreak/>
              <w:t>lanzamientos ejecutados</w:t>
            </w:r>
            <w:r w:rsidR="001546F4" w:rsidRPr="008519A9">
              <w:rPr>
                <w:b/>
                <w:bCs/>
                <w:sz w:val="18"/>
                <w:szCs w:val="18"/>
                <w:highlight w:val="white"/>
              </w:rPr>
              <w:t xml:space="preserve"> </w:t>
            </w:r>
            <w:r w:rsidR="004D0396" w:rsidRPr="008519A9">
              <w:rPr>
                <w:b/>
                <w:bCs/>
                <w:sz w:val="18"/>
                <w:szCs w:val="18"/>
                <w:highlight w:val="white"/>
              </w:rPr>
              <w:t>(%)</w:t>
            </w:r>
          </w:p>
        </w:tc>
        <w:tc>
          <w:tcPr>
            <w:tcW w:w="850" w:type="dxa"/>
            <w:vAlign w:val="center"/>
          </w:tcPr>
          <w:p w14:paraId="7DDCBB64" w14:textId="07264B31" w:rsidR="001546F4" w:rsidRPr="008519A9" w:rsidRDefault="00725275" w:rsidP="001546F4">
            <w:pPr>
              <w:spacing w:before="240" w:after="200"/>
              <w:jc w:val="both"/>
              <w:rPr>
                <w:color w:val="000000" w:themeColor="text1"/>
                <w:sz w:val="18"/>
                <w:szCs w:val="18"/>
              </w:rPr>
            </w:pPr>
            <w:r w:rsidRPr="008519A9">
              <w:rPr>
                <w:color w:val="000000" w:themeColor="text1"/>
                <w:sz w:val="18"/>
                <w:szCs w:val="18"/>
              </w:rPr>
              <w:lastRenderedPageBreak/>
              <w:t>2,2</w:t>
            </w:r>
          </w:p>
        </w:tc>
        <w:tc>
          <w:tcPr>
            <w:tcW w:w="851" w:type="dxa"/>
            <w:vAlign w:val="center"/>
          </w:tcPr>
          <w:p w14:paraId="180DEF5B" w14:textId="73081000" w:rsidR="001546F4" w:rsidRPr="008519A9" w:rsidRDefault="00725275" w:rsidP="001546F4">
            <w:pPr>
              <w:spacing w:before="240" w:after="200"/>
              <w:jc w:val="both"/>
              <w:rPr>
                <w:color w:val="000000" w:themeColor="text1"/>
                <w:sz w:val="18"/>
                <w:szCs w:val="18"/>
              </w:rPr>
            </w:pPr>
            <w:r w:rsidRPr="008519A9">
              <w:rPr>
                <w:color w:val="000000" w:themeColor="text1"/>
                <w:sz w:val="18"/>
                <w:szCs w:val="18"/>
              </w:rPr>
              <w:t>1,9</w:t>
            </w:r>
          </w:p>
        </w:tc>
        <w:tc>
          <w:tcPr>
            <w:tcW w:w="850" w:type="dxa"/>
            <w:vAlign w:val="center"/>
          </w:tcPr>
          <w:p w14:paraId="69A42BA1" w14:textId="6A8D09F0" w:rsidR="001546F4" w:rsidRPr="008519A9" w:rsidRDefault="00725275" w:rsidP="001546F4">
            <w:pPr>
              <w:spacing w:before="240" w:after="200"/>
              <w:jc w:val="both"/>
              <w:rPr>
                <w:color w:val="000000" w:themeColor="text1"/>
                <w:sz w:val="18"/>
                <w:szCs w:val="18"/>
              </w:rPr>
            </w:pPr>
            <w:r w:rsidRPr="008519A9">
              <w:rPr>
                <w:color w:val="000000" w:themeColor="text1"/>
                <w:sz w:val="18"/>
                <w:szCs w:val="18"/>
              </w:rPr>
              <w:t>2,7</w:t>
            </w:r>
          </w:p>
        </w:tc>
        <w:tc>
          <w:tcPr>
            <w:tcW w:w="851" w:type="dxa"/>
            <w:vAlign w:val="center"/>
          </w:tcPr>
          <w:p w14:paraId="5A2ABAD2" w14:textId="07791473" w:rsidR="001546F4" w:rsidRPr="008519A9" w:rsidRDefault="00A26530" w:rsidP="001546F4">
            <w:pPr>
              <w:spacing w:before="240" w:after="200"/>
              <w:jc w:val="both"/>
              <w:rPr>
                <w:color w:val="000000" w:themeColor="text1"/>
                <w:sz w:val="18"/>
                <w:szCs w:val="18"/>
              </w:rPr>
            </w:pPr>
            <w:r w:rsidRPr="008519A9">
              <w:rPr>
                <w:color w:val="000000" w:themeColor="text1"/>
                <w:sz w:val="18"/>
                <w:szCs w:val="18"/>
              </w:rPr>
              <w:t>1,9</w:t>
            </w:r>
          </w:p>
        </w:tc>
        <w:tc>
          <w:tcPr>
            <w:tcW w:w="850" w:type="dxa"/>
            <w:vAlign w:val="center"/>
          </w:tcPr>
          <w:p w14:paraId="344DE361" w14:textId="0DF0748E" w:rsidR="001546F4" w:rsidRPr="008519A9" w:rsidRDefault="00A26530" w:rsidP="001546F4">
            <w:pPr>
              <w:spacing w:before="240" w:after="200"/>
              <w:jc w:val="both"/>
              <w:rPr>
                <w:color w:val="000000" w:themeColor="text1"/>
                <w:sz w:val="18"/>
                <w:szCs w:val="18"/>
              </w:rPr>
            </w:pPr>
            <w:r w:rsidRPr="008519A9">
              <w:rPr>
                <w:color w:val="000000" w:themeColor="text1"/>
                <w:sz w:val="18"/>
                <w:szCs w:val="18"/>
              </w:rPr>
              <w:t>2,5</w:t>
            </w:r>
          </w:p>
        </w:tc>
        <w:tc>
          <w:tcPr>
            <w:tcW w:w="851" w:type="dxa"/>
            <w:vAlign w:val="center"/>
          </w:tcPr>
          <w:p w14:paraId="2B18D8F4" w14:textId="73FA0200" w:rsidR="001546F4" w:rsidRPr="008519A9" w:rsidRDefault="00A26530" w:rsidP="001546F4">
            <w:pPr>
              <w:spacing w:before="240" w:after="200"/>
              <w:jc w:val="both"/>
              <w:rPr>
                <w:color w:val="000000" w:themeColor="text1"/>
                <w:sz w:val="18"/>
                <w:szCs w:val="18"/>
              </w:rPr>
            </w:pPr>
            <w:r w:rsidRPr="008519A9">
              <w:rPr>
                <w:color w:val="000000" w:themeColor="text1"/>
                <w:sz w:val="18"/>
                <w:szCs w:val="18"/>
              </w:rPr>
              <w:t>1,2</w:t>
            </w:r>
          </w:p>
        </w:tc>
      </w:tr>
    </w:tbl>
    <w:p w14:paraId="5048BCCE" w14:textId="77777777" w:rsidR="00BA7C18" w:rsidRDefault="002632BD" w:rsidP="00DC404F">
      <w:pPr>
        <w:spacing w:before="240" w:after="200"/>
        <w:jc w:val="both"/>
        <w:rPr>
          <w:highlight w:val="white"/>
        </w:rPr>
      </w:pPr>
      <w:r w:rsidRPr="008519A9">
        <w:rPr>
          <w:highlight w:val="white"/>
        </w:rPr>
        <w:t xml:space="preserve">Además, </w:t>
      </w:r>
      <w:r w:rsidR="00EE114F" w:rsidRPr="008519A9">
        <w:rPr>
          <w:highlight w:val="white"/>
        </w:rPr>
        <w:t xml:space="preserve">es importante </w:t>
      </w:r>
      <w:r w:rsidR="00DC404F" w:rsidRPr="008519A9">
        <w:rPr>
          <w:highlight w:val="white"/>
        </w:rPr>
        <w:t>que</w:t>
      </w:r>
      <w:r w:rsidR="005E272D" w:rsidRPr="008519A9">
        <w:rPr>
          <w:highlight w:val="white"/>
        </w:rPr>
        <w:t>, en septiembre del 2025, l</w:t>
      </w:r>
      <w:r w:rsidR="00C66EBC" w:rsidRPr="008519A9">
        <w:rPr>
          <w:highlight w:val="white"/>
        </w:rPr>
        <w:t xml:space="preserve">a propia Sindicatura de </w:t>
      </w:r>
      <w:r w:rsidR="00886614" w:rsidRPr="008519A9">
        <w:rPr>
          <w:highlight w:val="white"/>
        </w:rPr>
        <w:t xml:space="preserve">Greuges de Barcelona ya </w:t>
      </w:r>
      <w:r w:rsidR="005E272D" w:rsidRPr="008519A9">
        <w:rPr>
          <w:highlight w:val="white"/>
        </w:rPr>
        <w:t xml:space="preserve">instó </w:t>
      </w:r>
      <w:r w:rsidR="00886614" w:rsidRPr="008519A9">
        <w:rPr>
          <w:highlight w:val="white"/>
        </w:rPr>
        <w:t xml:space="preserve">al Ayuntamiento de Barcelona ha garantizar </w:t>
      </w:r>
      <w:r w:rsidR="005E272D" w:rsidRPr="008519A9">
        <w:rPr>
          <w:highlight w:val="white"/>
        </w:rPr>
        <w:t>los estándares mínimos de habitabilidad y de dignidad</w:t>
      </w:r>
      <w:r w:rsidR="00AF2C0B" w:rsidRPr="008519A9">
        <w:rPr>
          <w:highlight w:val="white"/>
        </w:rPr>
        <w:t xml:space="preserve">, y garantizar </w:t>
      </w:r>
      <w:r w:rsidR="00683CB0" w:rsidRPr="008519A9">
        <w:rPr>
          <w:highlight w:val="white"/>
        </w:rPr>
        <w:t>una mayor aportación de recursos</w:t>
      </w:r>
      <w:r w:rsidR="00B61DBF" w:rsidRPr="008519A9">
        <w:rPr>
          <w:highlight w:val="white"/>
        </w:rPr>
        <w:t xml:space="preserve"> para dar respuestas a </w:t>
      </w:r>
      <w:r w:rsidR="00DC404F" w:rsidRPr="008519A9">
        <w:rPr>
          <w:highlight w:val="white"/>
        </w:rPr>
        <w:t xml:space="preserve">todas </w:t>
      </w:r>
      <w:r w:rsidR="00B61DBF" w:rsidRPr="008519A9">
        <w:rPr>
          <w:highlight w:val="white"/>
        </w:rPr>
        <w:t>las necesidades residenciales de la población más vulnerable</w:t>
      </w:r>
      <w:r w:rsidR="005E272D" w:rsidRPr="008519A9">
        <w:rPr>
          <w:rStyle w:val="Refernciadenotaapeudepgina"/>
          <w:highlight w:val="white"/>
        </w:rPr>
        <w:footnoteReference w:id="4"/>
      </w:r>
      <w:r w:rsidR="00DC404F" w:rsidRPr="008519A9">
        <w:rPr>
          <w:highlight w:val="white"/>
        </w:rPr>
        <w:t xml:space="preserve">. </w:t>
      </w:r>
    </w:p>
    <w:p w14:paraId="79DFB4C4" w14:textId="72CD7D31" w:rsidR="00C66EBC" w:rsidRPr="008519A9" w:rsidRDefault="00DC404F" w:rsidP="00DC404F">
      <w:pPr>
        <w:spacing w:before="240" w:after="200"/>
        <w:jc w:val="both"/>
        <w:rPr>
          <w:highlight w:val="white"/>
        </w:rPr>
      </w:pPr>
      <w:r w:rsidRPr="008519A9">
        <w:rPr>
          <w:highlight w:val="white"/>
        </w:rPr>
        <w:t xml:space="preserve">Sin embargo, en enero del 2026 </w:t>
      </w:r>
      <w:r w:rsidR="0032044F" w:rsidRPr="008519A9">
        <w:rPr>
          <w:highlight w:val="white"/>
        </w:rPr>
        <w:t>informó que no disponía de más plazas del Servicio de Alojamiento Temporal Urgente, motivo por el cual queda entredicho incluso la posibilidad de adoptar las medidas más urgentes para evitar situaciones de sinhogarismo</w:t>
      </w:r>
      <w:r w:rsidR="00086722" w:rsidRPr="008519A9">
        <w:rPr>
          <w:rStyle w:val="Refernciadenotaapeudepgina"/>
          <w:highlight w:val="white"/>
        </w:rPr>
        <w:footnoteReference w:id="5"/>
      </w:r>
      <w:r w:rsidR="0032044F" w:rsidRPr="008519A9">
        <w:rPr>
          <w:highlight w:val="white"/>
        </w:rPr>
        <w:t xml:space="preserve">. </w:t>
      </w:r>
    </w:p>
    <w:p w14:paraId="2239FA9C" w14:textId="77777777" w:rsidR="00086722" w:rsidRPr="008519A9" w:rsidRDefault="00086722">
      <w:pPr>
        <w:spacing w:before="240" w:after="200"/>
        <w:jc w:val="both"/>
      </w:pPr>
    </w:p>
    <w:p w14:paraId="1AD46202" w14:textId="3BAA8F77" w:rsidR="00086722" w:rsidRPr="008519A9" w:rsidRDefault="00086722" w:rsidP="00086722">
      <w:pPr>
        <w:spacing w:before="240" w:after="200"/>
        <w:jc w:val="both"/>
      </w:pPr>
      <w:r w:rsidRPr="008519A9">
        <w:rPr>
          <w:b/>
          <w:bCs/>
          <w:color w:val="388600"/>
        </w:rPr>
        <w:t>(</w:t>
      </w:r>
      <w:r w:rsidR="00B43B07" w:rsidRPr="008519A9">
        <w:rPr>
          <w:b/>
          <w:bCs/>
          <w:color w:val="388600"/>
        </w:rPr>
        <w:t>BADALONA</w:t>
      </w:r>
      <w:r w:rsidRPr="008519A9">
        <w:rPr>
          <w:b/>
          <w:bCs/>
          <w:color w:val="388600"/>
        </w:rPr>
        <w:t>)</w:t>
      </w:r>
      <w:r w:rsidRPr="008519A9">
        <w:rPr>
          <w:color w:val="388600"/>
        </w:rPr>
        <w:t xml:space="preserve"> </w:t>
      </w:r>
      <w:r w:rsidRPr="008519A9">
        <w:t xml:space="preserve">En el caso de </w:t>
      </w:r>
      <w:r w:rsidRPr="008519A9">
        <w:rPr>
          <w:b/>
          <w:bCs/>
        </w:rPr>
        <w:t>Badalona</w:t>
      </w:r>
      <w:r w:rsidRPr="008519A9">
        <w:t xml:space="preserve">, el nombre de adjudicaciones de la mesa de emergencia no se corresponde con el número de personas inscritas, ni con el número total de lanzamientos practicados, tal y como se muestra en la siguiente tabla:  </w:t>
      </w:r>
    </w:p>
    <w:tbl>
      <w:tblPr>
        <w:tblStyle w:val="Taulaambquadrcula"/>
        <w:tblW w:w="0" w:type="auto"/>
        <w:jc w:val="center"/>
        <w:tblLayout w:type="fixed"/>
        <w:tblLook w:val="04A0" w:firstRow="1" w:lastRow="0" w:firstColumn="1" w:lastColumn="0" w:noHBand="0" w:noVBand="1"/>
      </w:tblPr>
      <w:tblGrid>
        <w:gridCol w:w="2122"/>
        <w:gridCol w:w="850"/>
        <w:gridCol w:w="851"/>
        <w:gridCol w:w="850"/>
        <w:gridCol w:w="851"/>
        <w:gridCol w:w="850"/>
        <w:gridCol w:w="851"/>
      </w:tblGrid>
      <w:tr w:rsidR="009E7160" w:rsidRPr="008519A9" w14:paraId="76C8C284" w14:textId="77777777" w:rsidTr="00885003">
        <w:trPr>
          <w:jc w:val="center"/>
        </w:trPr>
        <w:tc>
          <w:tcPr>
            <w:tcW w:w="7225" w:type="dxa"/>
            <w:gridSpan w:val="7"/>
          </w:tcPr>
          <w:p w14:paraId="502A032D" w14:textId="1D7F1DD3" w:rsidR="009E7160" w:rsidRPr="008519A9" w:rsidRDefault="009E7160" w:rsidP="00885003">
            <w:pPr>
              <w:spacing w:before="240" w:after="200"/>
              <w:jc w:val="both"/>
              <w:rPr>
                <w:b/>
                <w:bCs/>
                <w:sz w:val="18"/>
                <w:szCs w:val="18"/>
                <w:highlight w:val="white"/>
              </w:rPr>
            </w:pPr>
            <w:r w:rsidRPr="008519A9">
              <w:rPr>
                <w:b/>
                <w:bCs/>
                <w:sz w:val="18"/>
                <w:szCs w:val="18"/>
                <w:highlight w:val="white"/>
              </w:rPr>
              <w:t xml:space="preserve">Taula 1. </w:t>
            </w:r>
            <w:r w:rsidR="00E24866" w:rsidRPr="008519A9">
              <w:rPr>
                <w:b/>
                <w:bCs/>
                <w:sz w:val="18"/>
                <w:szCs w:val="18"/>
                <w:highlight w:val="white"/>
              </w:rPr>
              <w:t>Correspondencia entre número de desahucios y actuación de la mesa de valoración de situaciones de emergencias económicas y sociales de Badalona</w:t>
            </w:r>
            <w:r w:rsidR="00E24866" w:rsidRPr="008519A9">
              <w:rPr>
                <w:b/>
                <w:bCs/>
                <w:sz w:val="18"/>
                <w:szCs w:val="18"/>
                <w:highlight w:val="white"/>
                <w:vertAlign w:val="superscript"/>
              </w:rPr>
              <w:t xml:space="preserve"> </w:t>
            </w:r>
            <w:r w:rsidRPr="008519A9">
              <w:rPr>
                <w:rStyle w:val="Refernciadenotaapeudepgina"/>
                <w:b/>
                <w:bCs/>
                <w:sz w:val="18"/>
                <w:szCs w:val="18"/>
                <w:highlight w:val="white"/>
              </w:rPr>
              <w:footnoteReference w:id="6"/>
            </w:r>
            <w:r w:rsidRPr="008519A9">
              <w:rPr>
                <w:b/>
                <w:bCs/>
                <w:sz w:val="18"/>
                <w:szCs w:val="18"/>
                <w:highlight w:val="white"/>
              </w:rPr>
              <w:t xml:space="preserve"> </w:t>
            </w:r>
          </w:p>
        </w:tc>
      </w:tr>
      <w:tr w:rsidR="009E7160" w:rsidRPr="008519A9" w14:paraId="3B63E953" w14:textId="77777777" w:rsidTr="00885003">
        <w:trPr>
          <w:jc w:val="center"/>
        </w:trPr>
        <w:tc>
          <w:tcPr>
            <w:tcW w:w="2122" w:type="dxa"/>
          </w:tcPr>
          <w:p w14:paraId="0EDB34BF" w14:textId="77777777" w:rsidR="009E7160" w:rsidRPr="008519A9" w:rsidRDefault="009E7160" w:rsidP="00885003">
            <w:pPr>
              <w:spacing w:before="240" w:after="200"/>
              <w:jc w:val="both"/>
              <w:rPr>
                <w:b/>
                <w:bCs/>
                <w:sz w:val="18"/>
                <w:szCs w:val="18"/>
                <w:highlight w:val="white"/>
              </w:rPr>
            </w:pPr>
            <w:r w:rsidRPr="008519A9">
              <w:rPr>
                <w:b/>
                <w:bCs/>
                <w:sz w:val="18"/>
                <w:szCs w:val="18"/>
                <w:highlight w:val="white"/>
              </w:rPr>
              <w:t>Año</w:t>
            </w:r>
          </w:p>
        </w:tc>
        <w:tc>
          <w:tcPr>
            <w:tcW w:w="850" w:type="dxa"/>
          </w:tcPr>
          <w:p w14:paraId="0A83415B" w14:textId="77777777" w:rsidR="009E7160" w:rsidRPr="008519A9" w:rsidRDefault="009E7160" w:rsidP="00885003">
            <w:pPr>
              <w:spacing w:before="240" w:after="200"/>
              <w:jc w:val="both"/>
              <w:rPr>
                <w:sz w:val="18"/>
                <w:szCs w:val="18"/>
                <w:highlight w:val="white"/>
              </w:rPr>
            </w:pPr>
            <w:r w:rsidRPr="008519A9">
              <w:rPr>
                <w:sz w:val="18"/>
                <w:szCs w:val="18"/>
                <w:highlight w:val="white"/>
              </w:rPr>
              <w:t>2020</w:t>
            </w:r>
          </w:p>
        </w:tc>
        <w:tc>
          <w:tcPr>
            <w:tcW w:w="851" w:type="dxa"/>
          </w:tcPr>
          <w:p w14:paraId="686EFBD9" w14:textId="77777777" w:rsidR="009E7160" w:rsidRPr="008519A9" w:rsidRDefault="009E7160" w:rsidP="00885003">
            <w:pPr>
              <w:spacing w:before="240" w:after="200"/>
              <w:jc w:val="both"/>
              <w:rPr>
                <w:sz w:val="18"/>
                <w:szCs w:val="18"/>
                <w:highlight w:val="white"/>
              </w:rPr>
            </w:pPr>
            <w:r w:rsidRPr="008519A9">
              <w:rPr>
                <w:sz w:val="18"/>
                <w:szCs w:val="18"/>
                <w:highlight w:val="white"/>
              </w:rPr>
              <w:t>2021</w:t>
            </w:r>
          </w:p>
        </w:tc>
        <w:tc>
          <w:tcPr>
            <w:tcW w:w="850" w:type="dxa"/>
          </w:tcPr>
          <w:p w14:paraId="04C0B217" w14:textId="77777777" w:rsidR="009E7160" w:rsidRPr="008519A9" w:rsidRDefault="009E7160" w:rsidP="00885003">
            <w:pPr>
              <w:spacing w:before="240" w:after="200"/>
              <w:jc w:val="both"/>
              <w:rPr>
                <w:sz w:val="18"/>
                <w:szCs w:val="18"/>
                <w:highlight w:val="white"/>
              </w:rPr>
            </w:pPr>
            <w:r w:rsidRPr="008519A9">
              <w:rPr>
                <w:sz w:val="18"/>
                <w:szCs w:val="18"/>
                <w:highlight w:val="white"/>
              </w:rPr>
              <w:t>2022</w:t>
            </w:r>
          </w:p>
        </w:tc>
        <w:tc>
          <w:tcPr>
            <w:tcW w:w="851" w:type="dxa"/>
          </w:tcPr>
          <w:p w14:paraId="6F7CD24D" w14:textId="77777777" w:rsidR="009E7160" w:rsidRPr="008519A9" w:rsidRDefault="009E7160" w:rsidP="00885003">
            <w:pPr>
              <w:spacing w:before="240" w:after="200"/>
              <w:jc w:val="both"/>
              <w:rPr>
                <w:sz w:val="18"/>
                <w:szCs w:val="18"/>
                <w:highlight w:val="white"/>
              </w:rPr>
            </w:pPr>
            <w:r w:rsidRPr="008519A9">
              <w:rPr>
                <w:sz w:val="18"/>
                <w:szCs w:val="18"/>
                <w:highlight w:val="white"/>
              </w:rPr>
              <w:t>2023</w:t>
            </w:r>
          </w:p>
        </w:tc>
        <w:tc>
          <w:tcPr>
            <w:tcW w:w="850" w:type="dxa"/>
          </w:tcPr>
          <w:p w14:paraId="229CCBC9" w14:textId="77777777" w:rsidR="009E7160" w:rsidRPr="008519A9" w:rsidRDefault="009E7160" w:rsidP="00885003">
            <w:pPr>
              <w:spacing w:before="240" w:after="200"/>
              <w:jc w:val="both"/>
              <w:rPr>
                <w:sz w:val="18"/>
                <w:szCs w:val="18"/>
                <w:highlight w:val="white"/>
              </w:rPr>
            </w:pPr>
            <w:r w:rsidRPr="008519A9">
              <w:rPr>
                <w:sz w:val="18"/>
                <w:szCs w:val="18"/>
                <w:highlight w:val="white"/>
              </w:rPr>
              <w:t>2024</w:t>
            </w:r>
          </w:p>
        </w:tc>
        <w:tc>
          <w:tcPr>
            <w:tcW w:w="851" w:type="dxa"/>
          </w:tcPr>
          <w:p w14:paraId="7442A293" w14:textId="77777777" w:rsidR="009E7160" w:rsidRPr="008519A9" w:rsidRDefault="009E7160" w:rsidP="00885003">
            <w:pPr>
              <w:spacing w:before="240" w:after="200"/>
              <w:jc w:val="both"/>
              <w:rPr>
                <w:sz w:val="18"/>
                <w:szCs w:val="18"/>
                <w:highlight w:val="white"/>
              </w:rPr>
            </w:pPr>
            <w:r w:rsidRPr="008519A9">
              <w:rPr>
                <w:sz w:val="18"/>
                <w:szCs w:val="18"/>
                <w:highlight w:val="white"/>
              </w:rPr>
              <w:t>2025</w:t>
            </w:r>
          </w:p>
        </w:tc>
      </w:tr>
      <w:tr w:rsidR="00C375CA" w:rsidRPr="008519A9" w14:paraId="1BC7D46A" w14:textId="77777777" w:rsidTr="00885003">
        <w:trPr>
          <w:jc w:val="center"/>
        </w:trPr>
        <w:tc>
          <w:tcPr>
            <w:tcW w:w="2122" w:type="dxa"/>
          </w:tcPr>
          <w:p w14:paraId="02FADBD0" w14:textId="23B8CC62" w:rsidR="00C375CA" w:rsidRPr="008519A9" w:rsidRDefault="00C375CA" w:rsidP="00C375CA">
            <w:pPr>
              <w:spacing w:before="240" w:after="200"/>
              <w:jc w:val="both"/>
              <w:rPr>
                <w:b/>
                <w:bCs/>
                <w:sz w:val="18"/>
                <w:szCs w:val="18"/>
                <w:highlight w:val="white"/>
              </w:rPr>
            </w:pPr>
            <w:r w:rsidRPr="008519A9">
              <w:rPr>
                <w:b/>
                <w:bCs/>
                <w:sz w:val="18"/>
                <w:szCs w:val="18"/>
                <w:highlight w:val="white"/>
              </w:rPr>
              <w:t xml:space="preserve">Núm. lanzamientos ejecutados </w:t>
            </w:r>
          </w:p>
        </w:tc>
        <w:tc>
          <w:tcPr>
            <w:tcW w:w="850" w:type="dxa"/>
          </w:tcPr>
          <w:p w14:paraId="6CCF790D" w14:textId="77777777" w:rsidR="00C375CA" w:rsidRPr="008519A9" w:rsidRDefault="00C375CA" w:rsidP="00C375CA">
            <w:pPr>
              <w:spacing w:before="240" w:after="200"/>
              <w:jc w:val="both"/>
              <w:rPr>
                <w:sz w:val="18"/>
                <w:szCs w:val="18"/>
                <w:highlight w:val="white"/>
              </w:rPr>
            </w:pPr>
            <w:r w:rsidRPr="008519A9">
              <w:rPr>
                <w:sz w:val="18"/>
                <w:szCs w:val="18"/>
                <w:highlight w:val="white"/>
              </w:rPr>
              <w:t>214</w:t>
            </w:r>
          </w:p>
        </w:tc>
        <w:tc>
          <w:tcPr>
            <w:tcW w:w="851" w:type="dxa"/>
          </w:tcPr>
          <w:p w14:paraId="6E63D44B" w14:textId="77777777" w:rsidR="00C375CA" w:rsidRPr="008519A9" w:rsidRDefault="00C375CA" w:rsidP="00C375CA">
            <w:pPr>
              <w:spacing w:before="240" w:after="200"/>
              <w:jc w:val="both"/>
              <w:rPr>
                <w:sz w:val="18"/>
                <w:szCs w:val="18"/>
                <w:highlight w:val="white"/>
              </w:rPr>
            </w:pPr>
            <w:r w:rsidRPr="008519A9">
              <w:rPr>
                <w:sz w:val="18"/>
                <w:szCs w:val="18"/>
                <w:highlight w:val="white"/>
              </w:rPr>
              <w:t>262</w:t>
            </w:r>
          </w:p>
        </w:tc>
        <w:tc>
          <w:tcPr>
            <w:tcW w:w="850" w:type="dxa"/>
          </w:tcPr>
          <w:p w14:paraId="06D439A9" w14:textId="77777777" w:rsidR="00C375CA" w:rsidRPr="008519A9" w:rsidRDefault="00C375CA" w:rsidP="00C375CA">
            <w:pPr>
              <w:spacing w:before="240" w:after="200"/>
              <w:jc w:val="both"/>
              <w:rPr>
                <w:sz w:val="18"/>
                <w:szCs w:val="18"/>
                <w:highlight w:val="white"/>
              </w:rPr>
            </w:pPr>
            <w:r w:rsidRPr="008519A9">
              <w:rPr>
                <w:sz w:val="18"/>
                <w:szCs w:val="18"/>
                <w:highlight w:val="white"/>
              </w:rPr>
              <w:t>204</w:t>
            </w:r>
          </w:p>
        </w:tc>
        <w:tc>
          <w:tcPr>
            <w:tcW w:w="851" w:type="dxa"/>
          </w:tcPr>
          <w:p w14:paraId="16B4B7FA" w14:textId="77777777" w:rsidR="00C375CA" w:rsidRPr="008519A9" w:rsidRDefault="00C375CA" w:rsidP="00C375CA">
            <w:pPr>
              <w:spacing w:before="240" w:after="200"/>
              <w:jc w:val="both"/>
              <w:rPr>
                <w:sz w:val="18"/>
                <w:szCs w:val="18"/>
                <w:highlight w:val="white"/>
              </w:rPr>
            </w:pPr>
            <w:r w:rsidRPr="008519A9">
              <w:rPr>
                <w:sz w:val="18"/>
                <w:szCs w:val="18"/>
                <w:highlight w:val="white"/>
              </w:rPr>
              <w:t>312</w:t>
            </w:r>
          </w:p>
        </w:tc>
        <w:tc>
          <w:tcPr>
            <w:tcW w:w="850" w:type="dxa"/>
          </w:tcPr>
          <w:p w14:paraId="2E02B269" w14:textId="77777777" w:rsidR="00C375CA" w:rsidRPr="008519A9" w:rsidRDefault="00C375CA" w:rsidP="00C375CA">
            <w:pPr>
              <w:spacing w:before="240" w:after="200"/>
              <w:jc w:val="both"/>
              <w:rPr>
                <w:sz w:val="18"/>
                <w:szCs w:val="18"/>
                <w:highlight w:val="white"/>
              </w:rPr>
            </w:pPr>
            <w:r w:rsidRPr="008519A9">
              <w:rPr>
                <w:sz w:val="18"/>
                <w:szCs w:val="18"/>
                <w:highlight w:val="white"/>
              </w:rPr>
              <w:t>272</w:t>
            </w:r>
          </w:p>
        </w:tc>
        <w:tc>
          <w:tcPr>
            <w:tcW w:w="851" w:type="dxa"/>
          </w:tcPr>
          <w:p w14:paraId="38832FA6" w14:textId="77777777" w:rsidR="00C375CA" w:rsidRPr="008519A9" w:rsidRDefault="00C375CA" w:rsidP="00C375CA">
            <w:pPr>
              <w:spacing w:before="240" w:after="200"/>
              <w:jc w:val="both"/>
              <w:rPr>
                <w:sz w:val="18"/>
                <w:szCs w:val="18"/>
                <w:highlight w:val="white"/>
              </w:rPr>
            </w:pPr>
            <w:r w:rsidRPr="008519A9">
              <w:rPr>
                <w:sz w:val="18"/>
                <w:szCs w:val="18"/>
                <w:highlight w:val="white"/>
              </w:rPr>
              <w:t>280</w:t>
            </w:r>
          </w:p>
        </w:tc>
      </w:tr>
      <w:tr w:rsidR="00C375CA" w:rsidRPr="008519A9" w14:paraId="03DA132A" w14:textId="77777777" w:rsidTr="00F60083">
        <w:trPr>
          <w:jc w:val="center"/>
        </w:trPr>
        <w:tc>
          <w:tcPr>
            <w:tcW w:w="2122" w:type="dxa"/>
          </w:tcPr>
          <w:p w14:paraId="5C2CA991" w14:textId="2E08F748" w:rsidR="00C375CA" w:rsidRPr="008519A9" w:rsidRDefault="00C375CA" w:rsidP="00C375CA">
            <w:pPr>
              <w:spacing w:before="240" w:after="200"/>
              <w:jc w:val="both"/>
              <w:rPr>
                <w:b/>
                <w:bCs/>
                <w:sz w:val="18"/>
                <w:szCs w:val="18"/>
                <w:highlight w:val="white"/>
              </w:rPr>
            </w:pPr>
            <w:r w:rsidRPr="008519A9">
              <w:rPr>
                <w:b/>
                <w:bCs/>
                <w:sz w:val="18"/>
                <w:szCs w:val="18"/>
                <w:highlight w:val="white"/>
              </w:rPr>
              <w:t>Núm. expedientes de la mesa de valoración</w:t>
            </w:r>
          </w:p>
        </w:tc>
        <w:tc>
          <w:tcPr>
            <w:tcW w:w="850" w:type="dxa"/>
            <w:shd w:val="clear" w:color="auto" w:fill="A6A6A6" w:themeFill="background1" w:themeFillShade="A6"/>
          </w:tcPr>
          <w:p w14:paraId="38720F52" w14:textId="77777777" w:rsidR="00C375CA" w:rsidRPr="008519A9" w:rsidRDefault="00C375CA" w:rsidP="00C375CA">
            <w:pPr>
              <w:spacing w:before="240" w:after="200"/>
              <w:jc w:val="center"/>
              <w:rPr>
                <w:color w:val="595959" w:themeColor="text1" w:themeTint="A6"/>
                <w:sz w:val="18"/>
                <w:szCs w:val="18"/>
                <w:highlight w:val="white"/>
              </w:rPr>
            </w:pPr>
          </w:p>
        </w:tc>
        <w:tc>
          <w:tcPr>
            <w:tcW w:w="851" w:type="dxa"/>
            <w:shd w:val="clear" w:color="auto" w:fill="A6A6A6" w:themeFill="background1" w:themeFillShade="A6"/>
          </w:tcPr>
          <w:p w14:paraId="0AC288FF" w14:textId="77777777" w:rsidR="00C375CA" w:rsidRPr="008519A9" w:rsidRDefault="00C375CA" w:rsidP="00C375CA">
            <w:pPr>
              <w:spacing w:before="240" w:after="200"/>
              <w:jc w:val="both"/>
              <w:rPr>
                <w:color w:val="595959" w:themeColor="text1" w:themeTint="A6"/>
                <w:sz w:val="18"/>
                <w:szCs w:val="18"/>
                <w:highlight w:val="white"/>
              </w:rPr>
            </w:pPr>
          </w:p>
        </w:tc>
        <w:tc>
          <w:tcPr>
            <w:tcW w:w="850" w:type="dxa"/>
            <w:shd w:val="clear" w:color="auto" w:fill="A6A6A6" w:themeFill="background1" w:themeFillShade="A6"/>
          </w:tcPr>
          <w:p w14:paraId="640E47B2" w14:textId="77777777" w:rsidR="00C375CA" w:rsidRPr="008519A9" w:rsidRDefault="00C375CA" w:rsidP="00C375CA">
            <w:pPr>
              <w:spacing w:before="240" w:after="200"/>
              <w:jc w:val="both"/>
              <w:rPr>
                <w:color w:val="595959" w:themeColor="text1" w:themeTint="A6"/>
                <w:sz w:val="18"/>
                <w:szCs w:val="18"/>
                <w:highlight w:val="white"/>
              </w:rPr>
            </w:pPr>
          </w:p>
        </w:tc>
        <w:tc>
          <w:tcPr>
            <w:tcW w:w="851" w:type="dxa"/>
            <w:shd w:val="clear" w:color="auto" w:fill="A6A6A6" w:themeFill="background1" w:themeFillShade="A6"/>
          </w:tcPr>
          <w:p w14:paraId="12E16630" w14:textId="77777777" w:rsidR="00C375CA" w:rsidRPr="008519A9" w:rsidRDefault="00C375CA" w:rsidP="00C375CA">
            <w:pPr>
              <w:spacing w:before="240" w:after="200"/>
              <w:jc w:val="both"/>
              <w:rPr>
                <w:color w:val="595959" w:themeColor="text1" w:themeTint="A6"/>
                <w:sz w:val="18"/>
                <w:szCs w:val="18"/>
                <w:highlight w:val="white"/>
              </w:rPr>
            </w:pPr>
          </w:p>
        </w:tc>
        <w:tc>
          <w:tcPr>
            <w:tcW w:w="850" w:type="dxa"/>
            <w:shd w:val="clear" w:color="auto" w:fill="A6A6A6" w:themeFill="background1" w:themeFillShade="A6"/>
          </w:tcPr>
          <w:p w14:paraId="6C19EFD7" w14:textId="77777777" w:rsidR="00C375CA" w:rsidRPr="008519A9" w:rsidRDefault="00C375CA" w:rsidP="00C375CA">
            <w:pPr>
              <w:spacing w:before="240" w:after="200"/>
              <w:jc w:val="both"/>
              <w:rPr>
                <w:color w:val="595959" w:themeColor="text1" w:themeTint="A6"/>
                <w:sz w:val="18"/>
                <w:szCs w:val="18"/>
                <w:highlight w:val="white"/>
              </w:rPr>
            </w:pPr>
          </w:p>
        </w:tc>
        <w:tc>
          <w:tcPr>
            <w:tcW w:w="851" w:type="dxa"/>
          </w:tcPr>
          <w:p w14:paraId="3A12F1FC" w14:textId="1C802760" w:rsidR="00C375CA" w:rsidRPr="008519A9" w:rsidRDefault="00C375CA" w:rsidP="00C375CA">
            <w:pPr>
              <w:spacing w:before="240" w:after="200"/>
              <w:jc w:val="both"/>
              <w:rPr>
                <w:sz w:val="18"/>
                <w:szCs w:val="18"/>
                <w:highlight w:val="white"/>
              </w:rPr>
            </w:pPr>
            <w:r w:rsidRPr="008519A9">
              <w:rPr>
                <w:sz w:val="18"/>
                <w:szCs w:val="18"/>
                <w:highlight w:val="white"/>
              </w:rPr>
              <w:t>87</w:t>
            </w:r>
          </w:p>
        </w:tc>
      </w:tr>
      <w:tr w:rsidR="00C375CA" w:rsidRPr="008519A9" w14:paraId="37836E0B" w14:textId="77777777" w:rsidTr="00F60083">
        <w:trPr>
          <w:jc w:val="center"/>
        </w:trPr>
        <w:tc>
          <w:tcPr>
            <w:tcW w:w="2122" w:type="dxa"/>
          </w:tcPr>
          <w:p w14:paraId="601DD1BA" w14:textId="6DE126BB" w:rsidR="00C375CA" w:rsidRPr="008519A9" w:rsidRDefault="00C375CA" w:rsidP="00C375CA">
            <w:pPr>
              <w:spacing w:before="240" w:after="200"/>
              <w:jc w:val="both"/>
              <w:rPr>
                <w:b/>
                <w:bCs/>
                <w:sz w:val="18"/>
                <w:szCs w:val="18"/>
                <w:highlight w:val="white"/>
              </w:rPr>
            </w:pPr>
            <w:r w:rsidRPr="008519A9">
              <w:rPr>
                <w:b/>
                <w:bCs/>
                <w:sz w:val="18"/>
                <w:szCs w:val="18"/>
                <w:highlight w:val="white"/>
              </w:rPr>
              <w:t>Núm. expedientes con vivienda adjudicada</w:t>
            </w:r>
          </w:p>
        </w:tc>
        <w:tc>
          <w:tcPr>
            <w:tcW w:w="850" w:type="dxa"/>
            <w:shd w:val="clear" w:color="auto" w:fill="A6A6A6" w:themeFill="background1" w:themeFillShade="A6"/>
          </w:tcPr>
          <w:p w14:paraId="7303B17F" w14:textId="77777777" w:rsidR="00C375CA" w:rsidRPr="008519A9" w:rsidRDefault="00C375CA" w:rsidP="00C375CA">
            <w:pPr>
              <w:spacing w:before="240" w:after="200"/>
              <w:jc w:val="both"/>
              <w:rPr>
                <w:color w:val="595959" w:themeColor="text1" w:themeTint="A6"/>
                <w:sz w:val="18"/>
                <w:szCs w:val="18"/>
                <w:highlight w:val="white"/>
              </w:rPr>
            </w:pPr>
          </w:p>
        </w:tc>
        <w:tc>
          <w:tcPr>
            <w:tcW w:w="851" w:type="dxa"/>
            <w:shd w:val="clear" w:color="auto" w:fill="A6A6A6" w:themeFill="background1" w:themeFillShade="A6"/>
          </w:tcPr>
          <w:p w14:paraId="6FBD48AC" w14:textId="77777777" w:rsidR="00C375CA" w:rsidRPr="008519A9" w:rsidRDefault="00C375CA" w:rsidP="00C375CA">
            <w:pPr>
              <w:spacing w:before="240" w:after="200"/>
              <w:jc w:val="both"/>
              <w:rPr>
                <w:color w:val="595959" w:themeColor="text1" w:themeTint="A6"/>
                <w:sz w:val="18"/>
                <w:szCs w:val="18"/>
                <w:highlight w:val="white"/>
              </w:rPr>
            </w:pPr>
          </w:p>
        </w:tc>
        <w:tc>
          <w:tcPr>
            <w:tcW w:w="850" w:type="dxa"/>
            <w:shd w:val="clear" w:color="auto" w:fill="A6A6A6" w:themeFill="background1" w:themeFillShade="A6"/>
          </w:tcPr>
          <w:p w14:paraId="4B99F248" w14:textId="77777777" w:rsidR="00C375CA" w:rsidRPr="008519A9" w:rsidRDefault="00C375CA" w:rsidP="00C375CA">
            <w:pPr>
              <w:spacing w:before="240" w:after="200"/>
              <w:jc w:val="both"/>
              <w:rPr>
                <w:color w:val="595959" w:themeColor="text1" w:themeTint="A6"/>
                <w:sz w:val="18"/>
                <w:szCs w:val="18"/>
                <w:highlight w:val="white"/>
              </w:rPr>
            </w:pPr>
          </w:p>
        </w:tc>
        <w:tc>
          <w:tcPr>
            <w:tcW w:w="851" w:type="dxa"/>
            <w:shd w:val="clear" w:color="auto" w:fill="A6A6A6" w:themeFill="background1" w:themeFillShade="A6"/>
          </w:tcPr>
          <w:p w14:paraId="6BF0A179" w14:textId="77777777" w:rsidR="00C375CA" w:rsidRPr="008519A9" w:rsidRDefault="00C375CA" w:rsidP="00C375CA">
            <w:pPr>
              <w:spacing w:before="240" w:after="200"/>
              <w:jc w:val="both"/>
              <w:rPr>
                <w:color w:val="595959" w:themeColor="text1" w:themeTint="A6"/>
                <w:sz w:val="18"/>
                <w:szCs w:val="18"/>
                <w:highlight w:val="white"/>
              </w:rPr>
            </w:pPr>
          </w:p>
        </w:tc>
        <w:tc>
          <w:tcPr>
            <w:tcW w:w="850" w:type="dxa"/>
            <w:shd w:val="clear" w:color="auto" w:fill="A6A6A6" w:themeFill="background1" w:themeFillShade="A6"/>
          </w:tcPr>
          <w:p w14:paraId="096F9FB0" w14:textId="77777777" w:rsidR="00C375CA" w:rsidRPr="008519A9" w:rsidRDefault="00C375CA" w:rsidP="00C375CA">
            <w:pPr>
              <w:spacing w:before="240" w:after="200"/>
              <w:jc w:val="both"/>
              <w:rPr>
                <w:color w:val="595959" w:themeColor="text1" w:themeTint="A6"/>
                <w:sz w:val="18"/>
                <w:szCs w:val="18"/>
                <w:highlight w:val="white"/>
              </w:rPr>
            </w:pPr>
          </w:p>
        </w:tc>
        <w:tc>
          <w:tcPr>
            <w:tcW w:w="851" w:type="dxa"/>
          </w:tcPr>
          <w:p w14:paraId="1A4DD8D0" w14:textId="7B734279" w:rsidR="00C375CA" w:rsidRPr="008519A9" w:rsidRDefault="00C375CA" w:rsidP="00C375CA">
            <w:pPr>
              <w:spacing w:before="240" w:after="200"/>
              <w:jc w:val="both"/>
              <w:rPr>
                <w:sz w:val="18"/>
                <w:szCs w:val="18"/>
                <w:highlight w:val="white"/>
              </w:rPr>
            </w:pPr>
            <w:r w:rsidRPr="008519A9">
              <w:rPr>
                <w:sz w:val="18"/>
                <w:szCs w:val="18"/>
                <w:highlight w:val="white"/>
              </w:rPr>
              <w:t>7</w:t>
            </w:r>
          </w:p>
        </w:tc>
      </w:tr>
      <w:tr w:rsidR="00C375CA" w:rsidRPr="008519A9" w14:paraId="58F685A5" w14:textId="77777777" w:rsidTr="00F60083">
        <w:trPr>
          <w:jc w:val="center"/>
        </w:trPr>
        <w:tc>
          <w:tcPr>
            <w:tcW w:w="2122" w:type="dxa"/>
          </w:tcPr>
          <w:p w14:paraId="4821649A" w14:textId="6733C5BC" w:rsidR="00C375CA" w:rsidRPr="008519A9" w:rsidRDefault="00C375CA" w:rsidP="00C375CA">
            <w:pPr>
              <w:spacing w:before="240" w:after="200"/>
              <w:jc w:val="both"/>
              <w:rPr>
                <w:b/>
                <w:bCs/>
                <w:sz w:val="18"/>
                <w:szCs w:val="18"/>
                <w:highlight w:val="white"/>
              </w:rPr>
            </w:pPr>
            <w:r w:rsidRPr="008519A9">
              <w:rPr>
                <w:b/>
                <w:bCs/>
                <w:sz w:val="18"/>
                <w:szCs w:val="18"/>
                <w:highlight w:val="white"/>
              </w:rPr>
              <w:t>Porcentaje de viviendas adjudicadas respecto el número de expedientes de la mesa (%)</w:t>
            </w:r>
          </w:p>
        </w:tc>
        <w:tc>
          <w:tcPr>
            <w:tcW w:w="850" w:type="dxa"/>
            <w:shd w:val="clear" w:color="auto" w:fill="A6A6A6" w:themeFill="background1" w:themeFillShade="A6"/>
            <w:vAlign w:val="center"/>
          </w:tcPr>
          <w:p w14:paraId="441D4229" w14:textId="77777777" w:rsidR="00C375CA" w:rsidRPr="008519A9" w:rsidRDefault="00C375CA" w:rsidP="00C375CA">
            <w:pPr>
              <w:spacing w:before="240" w:after="200"/>
              <w:jc w:val="both"/>
              <w:rPr>
                <w:color w:val="595959" w:themeColor="text1" w:themeTint="A6"/>
                <w:sz w:val="18"/>
                <w:szCs w:val="18"/>
                <w:highlight w:val="white"/>
              </w:rPr>
            </w:pPr>
          </w:p>
        </w:tc>
        <w:tc>
          <w:tcPr>
            <w:tcW w:w="851" w:type="dxa"/>
            <w:shd w:val="clear" w:color="auto" w:fill="A6A6A6" w:themeFill="background1" w:themeFillShade="A6"/>
            <w:vAlign w:val="center"/>
          </w:tcPr>
          <w:p w14:paraId="317FED0C" w14:textId="77777777" w:rsidR="00C375CA" w:rsidRPr="008519A9" w:rsidRDefault="00C375CA" w:rsidP="00C375CA">
            <w:pPr>
              <w:spacing w:before="240" w:after="200"/>
              <w:jc w:val="both"/>
              <w:rPr>
                <w:color w:val="595959" w:themeColor="text1" w:themeTint="A6"/>
                <w:sz w:val="18"/>
                <w:szCs w:val="18"/>
                <w:highlight w:val="white"/>
              </w:rPr>
            </w:pPr>
          </w:p>
        </w:tc>
        <w:tc>
          <w:tcPr>
            <w:tcW w:w="850" w:type="dxa"/>
            <w:shd w:val="clear" w:color="auto" w:fill="A6A6A6" w:themeFill="background1" w:themeFillShade="A6"/>
            <w:vAlign w:val="center"/>
          </w:tcPr>
          <w:p w14:paraId="13B5AA26" w14:textId="77777777" w:rsidR="00C375CA" w:rsidRPr="008519A9" w:rsidRDefault="00C375CA" w:rsidP="00C375CA">
            <w:pPr>
              <w:spacing w:before="240" w:after="200"/>
              <w:jc w:val="both"/>
              <w:rPr>
                <w:color w:val="595959" w:themeColor="text1" w:themeTint="A6"/>
                <w:sz w:val="18"/>
                <w:szCs w:val="18"/>
                <w:highlight w:val="white"/>
              </w:rPr>
            </w:pPr>
          </w:p>
        </w:tc>
        <w:tc>
          <w:tcPr>
            <w:tcW w:w="851" w:type="dxa"/>
            <w:shd w:val="clear" w:color="auto" w:fill="A6A6A6" w:themeFill="background1" w:themeFillShade="A6"/>
            <w:vAlign w:val="center"/>
          </w:tcPr>
          <w:p w14:paraId="3B4D1D8A" w14:textId="77777777" w:rsidR="00C375CA" w:rsidRPr="008519A9" w:rsidRDefault="00C375CA" w:rsidP="00C375CA">
            <w:pPr>
              <w:spacing w:before="240" w:after="200"/>
              <w:jc w:val="both"/>
              <w:rPr>
                <w:color w:val="595959" w:themeColor="text1" w:themeTint="A6"/>
                <w:sz w:val="18"/>
                <w:szCs w:val="18"/>
                <w:highlight w:val="white"/>
              </w:rPr>
            </w:pPr>
          </w:p>
        </w:tc>
        <w:tc>
          <w:tcPr>
            <w:tcW w:w="850" w:type="dxa"/>
            <w:shd w:val="clear" w:color="auto" w:fill="A6A6A6" w:themeFill="background1" w:themeFillShade="A6"/>
            <w:vAlign w:val="center"/>
          </w:tcPr>
          <w:p w14:paraId="187317A5" w14:textId="77777777" w:rsidR="00C375CA" w:rsidRPr="008519A9" w:rsidRDefault="00C375CA" w:rsidP="00C375CA">
            <w:pPr>
              <w:spacing w:before="240" w:after="200"/>
              <w:jc w:val="both"/>
              <w:rPr>
                <w:color w:val="595959" w:themeColor="text1" w:themeTint="A6"/>
                <w:sz w:val="18"/>
                <w:szCs w:val="18"/>
                <w:highlight w:val="white"/>
              </w:rPr>
            </w:pPr>
          </w:p>
        </w:tc>
        <w:tc>
          <w:tcPr>
            <w:tcW w:w="851" w:type="dxa"/>
            <w:vAlign w:val="center"/>
          </w:tcPr>
          <w:p w14:paraId="125EC69F" w14:textId="24DF12C3" w:rsidR="00C375CA" w:rsidRPr="008519A9" w:rsidRDefault="00C375CA" w:rsidP="00C375CA">
            <w:pPr>
              <w:spacing w:before="240" w:after="200"/>
              <w:jc w:val="both"/>
              <w:rPr>
                <w:color w:val="000000" w:themeColor="text1"/>
                <w:sz w:val="18"/>
                <w:szCs w:val="18"/>
              </w:rPr>
            </w:pPr>
            <w:r w:rsidRPr="008519A9">
              <w:rPr>
                <w:color w:val="000000" w:themeColor="text1"/>
                <w:sz w:val="18"/>
                <w:szCs w:val="18"/>
              </w:rPr>
              <w:t>8,0</w:t>
            </w:r>
          </w:p>
        </w:tc>
      </w:tr>
      <w:tr w:rsidR="00C375CA" w:rsidRPr="008519A9" w14:paraId="573C2DEB" w14:textId="77777777" w:rsidTr="00F60083">
        <w:trPr>
          <w:jc w:val="center"/>
        </w:trPr>
        <w:tc>
          <w:tcPr>
            <w:tcW w:w="2122" w:type="dxa"/>
          </w:tcPr>
          <w:p w14:paraId="0471FA83" w14:textId="4EA2C0F8" w:rsidR="00C375CA" w:rsidRPr="008519A9" w:rsidRDefault="00C375CA" w:rsidP="00C375CA">
            <w:pPr>
              <w:spacing w:before="240" w:after="200"/>
              <w:jc w:val="both"/>
              <w:rPr>
                <w:b/>
                <w:bCs/>
                <w:sz w:val="18"/>
                <w:szCs w:val="18"/>
                <w:highlight w:val="white"/>
              </w:rPr>
            </w:pPr>
            <w:r w:rsidRPr="008519A9">
              <w:rPr>
                <w:b/>
                <w:bCs/>
                <w:sz w:val="18"/>
                <w:szCs w:val="18"/>
                <w:highlight w:val="white"/>
              </w:rPr>
              <w:t xml:space="preserve">Porcentaje de viviendas adjudicadas </w:t>
            </w:r>
            <w:r w:rsidRPr="008519A9">
              <w:rPr>
                <w:b/>
                <w:bCs/>
                <w:sz w:val="18"/>
                <w:szCs w:val="18"/>
                <w:highlight w:val="white"/>
              </w:rPr>
              <w:lastRenderedPageBreak/>
              <w:t>respecto el total de lanzamientos ejecutados (%)</w:t>
            </w:r>
          </w:p>
        </w:tc>
        <w:tc>
          <w:tcPr>
            <w:tcW w:w="850" w:type="dxa"/>
            <w:shd w:val="clear" w:color="auto" w:fill="A6A6A6" w:themeFill="background1" w:themeFillShade="A6"/>
            <w:vAlign w:val="center"/>
          </w:tcPr>
          <w:p w14:paraId="23A438D3" w14:textId="77777777" w:rsidR="00C375CA" w:rsidRPr="008519A9" w:rsidRDefault="00C375CA" w:rsidP="00C375CA">
            <w:pPr>
              <w:spacing w:before="240" w:after="200"/>
              <w:jc w:val="both"/>
              <w:rPr>
                <w:color w:val="595959" w:themeColor="text1" w:themeTint="A6"/>
                <w:sz w:val="18"/>
                <w:szCs w:val="18"/>
                <w:highlight w:val="white"/>
              </w:rPr>
            </w:pPr>
          </w:p>
        </w:tc>
        <w:tc>
          <w:tcPr>
            <w:tcW w:w="851" w:type="dxa"/>
            <w:shd w:val="clear" w:color="auto" w:fill="A6A6A6" w:themeFill="background1" w:themeFillShade="A6"/>
            <w:vAlign w:val="center"/>
          </w:tcPr>
          <w:p w14:paraId="6E24CA32" w14:textId="77777777" w:rsidR="00C375CA" w:rsidRPr="008519A9" w:rsidRDefault="00C375CA" w:rsidP="00C375CA">
            <w:pPr>
              <w:spacing w:before="240" w:after="200"/>
              <w:jc w:val="both"/>
              <w:rPr>
                <w:color w:val="595959" w:themeColor="text1" w:themeTint="A6"/>
                <w:sz w:val="18"/>
                <w:szCs w:val="18"/>
                <w:highlight w:val="white"/>
              </w:rPr>
            </w:pPr>
          </w:p>
        </w:tc>
        <w:tc>
          <w:tcPr>
            <w:tcW w:w="850" w:type="dxa"/>
            <w:shd w:val="clear" w:color="auto" w:fill="A6A6A6" w:themeFill="background1" w:themeFillShade="A6"/>
            <w:vAlign w:val="center"/>
          </w:tcPr>
          <w:p w14:paraId="146DCE50" w14:textId="77777777" w:rsidR="00C375CA" w:rsidRPr="008519A9" w:rsidRDefault="00C375CA" w:rsidP="00C375CA">
            <w:pPr>
              <w:spacing w:before="240" w:after="200"/>
              <w:jc w:val="both"/>
              <w:rPr>
                <w:color w:val="595959" w:themeColor="text1" w:themeTint="A6"/>
                <w:sz w:val="18"/>
                <w:szCs w:val="18"/>
                <w:highlight w:val="white"/>
              </w:rPr>
            </w:pPr>
          </w:p>
        </w:tc>
        <w:tc>
          <w:tcPr>
            <w:tcW w:w="851" w:type="dxa"/>
            <w:shd w:val="clear" w:color="auto" w:fill="A6A6A6" w:themeFill="background1" w:themeFillShade="A6"/>
            <w:vAlign w:val="center"/>
          </w:tcPr>
          <w:p w14:paraId="53908723" w14:textId="77777777" w:rsidR="00C375CA" w:rsidRPr="008519A9" w:rsidRDefault="00C375CA" w:rsidP="00C375CA">
            <w:pPr>
              <w:spacing w:before="240" w:after="200"/>
              <w:jc w:val="both"/>
              <w:rPr>
                <w:color w:val="595959" w:themeColor="text1" w:themeTint="A6"/>
                <w:sz w:val="18"/>
                <w:szCs w:val="18"/>
                <w:highlight w:val="white"/>
              </w:rPr>
            </w:pPr>
          </w:p>
        </w:tc>
        <w:tc>
          <w:tcPr>
            <w:tcW w:w="850" w:type="dxa"/>
            <w:shd w:val="clear" w:color="auto" w:fill="A6A6A6" w:themeFill="background1" w:themeFillShade="A6"/>
            <w:vAlign w:val="center"/>
          </w:tcPr>
          <w:p w14:paraId="6A9D2CC5" w14:textId="77777777" w:rsidR="00C375CA" w:rsidRPr="008519A9" w:rsidRDefault="00C375CA" w:rsidP="00C375CA">
            <w:pPr>
              <w:spacing w:before="240" w:after="200"/>
              <w:jc w:val="both"/>
              <w:rPr>
                <w:color w:val="595959" w:themeColor="text1" w:themeTint="A6"/>
                <w:sz w:val="18"/>
                <w:szCs w:val="18"/>
                <w:highlight w:val="white"/>
              </w:rPr>
            </w:pPr>
          </w:p>
        </w:tc>
        <w:tc>
          <w:tcPr>
            <w:tcW w:w="851" w:type="dxa"/>
            <w:vAlign w:val="center"/>
          </w:tcPr>
          <w:p w14:paraId="2ACB605A" w14:textId="23B654C7" w:rsidR="00C375CA" w:rsidRPr="008519A9" w:rsidRDefault="00C375CA" w:rsidP="00C375CA">
            <w:pPr>
              <w:spacing w:before="240" w:after="200"/>
              <w:jc w:val="both"/>
              <w:rPr>
                <w:color w:val="000000" w:themeColor="text1"/>
                <w:sz w:val="18"/>
                <w:szCs w:val="18"/>
              </w:rPr>
            </w:pPr>
            <w:r w:rsidRPr="008519A9">
              <w:rPr>
                <w:color w:val="000000" w:themeColor="text1"/>
                <w:sz w:val="18"/>
                <w:szCs w:val="18"/>
              </w:rPr>
              <w:t>2,5</w:t>
            </w:r>
          </w:p>
        </w:tc>
      </w:tr>
    </w:tbl>
    <w:p w14:paraId="1586A328" w14:textId="77777777" w:rsidR="00086722" w:rsidRPr="008519A9" w:rsidRDefault="00086722">
      <w:pPr>
        <w:spacing w:before="240" w:after="200"/>
        <w:jc w:val="both"/>
        <w:rPr>
          <w:highlight w:val="yellow"/>
        </w:rPr>
      </w:pPr>
    </w:p>
    <w:p w14:paraId="2139C46F" w14:textId="1CCFB1AA" w:rsidR="00086722" w:rsidRPr="008519A9" w:rsidRDefault="006212D1">
      <w:pPr>
        <w:spacing w:before="240" w:after="200"/>
        <w:jc w:val="both"/>
      </w:pPr>
      <w:r w:rsidRPr="008519A9">
        <w:t xml:space="preserve">En este sentido, </w:t>
      </w:r>
      <w:r w:rsidR="00C87AB1" w:rsidRPr="008519A9">
        <w:t>es ilustrativo el caso del antiguo instituto B9 de Badalona, en que más de 400 personas fueron desalojadas por el Ayuntamiento de Badalona sin establecer ningún tipo de medidas para el realojamiento digno de las mismas</w:t>
      </w:r>
      <w:r w:rsidR="00C87AB1" w:rsidRPr="008519A9">
        <w:rPr>
          <w:rStyle w:val="Refernciadenotaapeudepgina"/>
        </w:rPr>
        <w:footnoteReference w:id="7"/>
      </w:r>
      <w:r w:rsidR="005C4719" w:rsidRPr="008519A9">
        <w:t>, lo que ha llevado a la Fiscalía provincial ha abrir una investigación por la posible comisión de distintos delitos</w:t>
      </w:r>
      <w:r w:rsidR="005C4719" w:rsidRPr="008519A9">
        <w:rPr>
          <w:rStyle w:val="Refernciadenotaapeudepgina"/>
        </w:rPr>
        <w:footnoteReference w:id="8"/>
      </w:r>
      <w:r w:rsidR="005C4719" w:rsidRPr="008519A9">
        <w:t>.</w:t>
      </w:r>
      <w:r w:rsidR="00C87AB1" w:rsidRPr="008519A9">
        <w:t xml:space="preserve"> Asimismo, este consistorio ha </w:t>
      </w:r>
      <w:r w:rsidR="00AE4BCB" w:rsidRPr="008519A9">
        <w:t>devuelto</w:t>
      </w:r>
      <w:r w:rsidR="00C87AB1" w:rsidRPr="008519A9">
        <w:t xml:space="preserve"> a la Generalitat de Cataluña </w:t>
      </w:r>
      <w:r w:rsidR="00AE4BCB" w:rsidRPr="008519A9">
        <w:t>hasta 112.350€ en los ejercicios 2023 y 2024 destinados a sufragar los gastos de acoger a personas en situación de sinhogarismo</w:t>
      </w:r>
      <w:r w:rsidR="00AE4BCB" w:rsidRPr="008519A9">
        <w:rPr>
          <w:rStyle w:val="Refernciadenotaapeudepgina"/>
        </w:rPr>
        <w:footnoteReference w:id="9"/>
      </w:r>
      <w:r w:rsidR="00004E23">
        <w:t xml:space="preserve">. </w:t>
      </w:r>
    </w:p>
    <w:p w14:paraId="1EFF2598" w14:textId="11F8BA0D" w:rsidR="00BE7268" w:rsidRPr="008519A9" w:rsidRDefault="004D4FFB">
      <w:pPr>
        <w:spacing w:before="240" w:after="200"/>
        <w:jc w:val="both"/>
      </w:pPr>
      <w:r w:rsidRPr="008519A9">
        <w:t xml:space="preserve">El caso de la familia de Omar </w:t>
      </w:r>
      <w:r w:rsidR="00D32723" w:rsidRPr="008519A9">
        <w:t xml:space="preserve">Ayaou es uno de los más recientes en explicitar la falta de protección del Ayuntamiento de Badalona </w:t>
      </w:r>
      <w:r w:rsidR="00084BCA" w:rsidRPr="008519A9">
        <w:t>en casos de desahucios. Con una enfermedad neurodegenerativa</w:t>
      </w:r>
      <w:r w:rsidR="001E4960" w:rsidRPr="008519A9">
        <w:t xml:space="preserve">, Servicios Sociales no actuó para aportar informes de vulnerabilidad en el </w:t>
      </w:r>
      <w:r w:rsidR="00004E23">
        <w:t>proceso judicial</w:t>
      </w:r>
      <w:r w:rsidR="001E4960" w:rsidRPr="008519A9">
        <w:t>, y tan solo derivó durante una noche al CUESB de Barcelona, sin proporcionar ninguna otra ayuda</w:t>
      </w:r>
      <w:r w:rsidR="001E4960" w:rsidRPr="008519A9">
        <w:rPr>
          <w:rStyle w:val="Refernciadenotaapeudepgina"/>
        </w:rPr>
        <w:footnoteReference w:id="10"/>
      </w:r>
      <w:r w:rsidR="001E4960" w:rsidRPr="008519A9">
        <w:t xml:space="preserve">. </w:t>
      </w:r>
    </w:p>
    <w:p w14:paraId="28D4C05A" w14:textId="0BF8A7A9" w:rsidR="000E4C98" w:rsidRPr="008519A9" w:rsidRDefault="00BE7268" w:rsidP="00BE7268">
      <w:pPr>
        <w:spacing w:before="240" w:after="200"/>
        <w:jc w:val="both"/>
      </w:pPr>
      <w:r w:rsidRPr="008519A9">
        <w:rPr>
          <w:b/>
          <w:bCs/>
          <w:color w:val="388600"/>
        </w:rPr>
        <w:t>(HOSPITALET DE LLOBREGAT)</w:t>
      </w:r>
      <w:r w:rsidRPr="008519A9">
        <w:rPr>
          <w:color w:val="388600"/>
        </w:rPr>
        <w:t xml:space="preserve"> </w:t>
      </w:r>
      <w:r w:rsidRPr="008519A9">
        <w:t xml:space="preserve">En el caso de </w:t>
      </w:r>
      <w:r w:rsidRPr="008519A9">
        <w:rPr>
          <w:b/>
          <w:bCs/>
        </w:rPr>
        <w:t>Hospitalet de Llobregat</w:t>
      </w:r>
      <w:r w:rsidRPr="008519A9">
        <w:t xml:space="preserve">, el nombre de adjudicaciones de la mesa de emergencia no se corresponde con el número de personas inscritas, ni con el número total de lanzamientos practicados, tal y como se muestra en la siguiente tabla:  </w:t>
      </w:r>
    </w:p>
    <w:tbl>
      <w:tblPr>
        <w:tblStyle w:val="Taulaambquadrcula"/>
        <w:tblW w:w="0" w:type="auto"/>
        <w:jc w:val="center"/>
        <w:tblLayout w:type="fixed"/>
        <w:tblLook w:val="04A0" w:firstRow="1" w:lastRow="0" w:firstColumn="1" w:lastColumn="0" w:noHBand="0" w:noVBand="1"/>
      </w:tblPr>
      <w:tblGrid>
        <w:gridCol w:w="2122"/>
        <w:gridCol w:w="850"/>
        <w:gridCol w:w="851"/>
        <w:gridCol w:w="850"/>
        <w:gridCol w:w="851"/>
      </w:tblGrid>
      <w:tr w:rsidR="009E7160" w:rsidRPr="008519A9" w14:paraId="4A1ADC9A" w14:textId="77777777" w:rsidTr="00885003">
        <w:trPr>
          <w:jc w:val="center"/>
        </w:trPr>
        <w:tc>
          <w:tcPr>
            <w:tcW w:w="5524" w:type="dxa"/>
            <w:gridSpan w:val="5"/>
          </w:tcPr>
          <w:p w14:paraId="34EB835A" w14:textId="453E00DD" w:rsidR="009E7160" w:rsidRPr="008519A9" w:rsidRDefault="00E24866" w:rsidP="00885003">
            <w:pPr>
              <w:spacing w:before="240" w:after="200"/>
              <w:jc w:val="both"/>
              <w:rPr>
                <w:sz w:val="18"/>
                <w:szCs w:val="18"/>
                <w:highlight w:val="white"/>
              </w:rPr>
            </w:pPr>
            <w:r w:rsidRPr="008519A9">
              <w:rPr>
                <w:b/>
                <w:bCs/>
                <w:sz w:val="18"/>
                <w:szCs w:val="18"/>
                <w:highlight w:val="white"/>
              </w:rPr>
              <w:t>Tabla 1</w:t>
            </w:r>
            <w:r w:rsidR="009E7160" w:rsidRPr="008519A9">
              <w:rPr>
                <w:b/>
                <w:bCs/>
                <w:sz w:val="18"/>
                <w:szCs w:val="18"/>
                <w:highlight w:val="white"/>
              </w:rPr>
              <w:t xml:space="preserve">. </w:t>
            </w:r>
            <w:r w:rsidRPr="008519A9">
              <w:rPr>
                <w:b/>
                <w:bCs/>
                <w:sz w:val="18"/>
                <w:szCs w:val="18"/>
                <w:highlight w:val="white"/>
              </w:rPr>
              <w:t>Correspondencia entre número de desahucios y actuación de la mesa de valoración de situaciones de emergencias económicas y sociales de Hospitalet de Llobregat</w:t>
            </w:r>
            <w:r w:rsidR="009E7160" w:rsidRPr="008519A9">
              <w:rPr>
                <w:rStyle w:val="Refernciadenotaapeudepgina"/>
                <w:b/>
                <w:bCs/>
                <w:sz w:val="18"/>
                <w:szCs w:val="18"/>
                <w:highlight w:val="white"/>
              </w:rPr>
              <w:footnoteReference w:id="11"/>
            </w:r>
          </w:p>
        </w:tc>
      </w:tr>
      <w:tr w:rsidR="009E7160" w:rsidRPr="008519A9" w14:paraId="11DBBB80" w14:textId="77777777" w:rsidTr="00885003">
        <w:trPr>
          <w:jc w:val="center"/>
        </w:trPr>
        <w:tc>
          <w:tcPr>
            <w:tcW w:w="2122" w:type="dxa"/>
          </w:tcPr>
          <w:p w14:paraId="038DCFAC" w14:textId="77777777" w:rsidR="009E7160" w:rsidRPr="008519A9" w:rsidRDefault="009E7160" w:rsidP="00885003">
            <w:pPr>
              <w:spacing w:before="240" w:after="200"/>
              <w:jc w:val="both"/>
              <w:rPr>
                <w:b/>
                <w:bCs/>
                <w:sz w:val="18"/>
                <w:szCs w:val="18"/>
                <w:highlight w:val="white"/>
              </w:rPr>
            </w:pPr>
            <w:r w:rsidRPr="008519A9">
              <w:rPr>
                <w:b/>
                <w:bCs/>
                <w:sz w:val="18"/>
                <w:szCs w:val="18"/>
                <w:highlight w:val="white"/>
              </w:rPr>
              <w:t>Año</w:t>
            </w:r>
          </w:p>
        </w:tc>
        <w:tc>
          <w:tcPr>
            <w:tcW w:w="850" w:type="dxa"/>
          </w:tcPr>
          <w:p w14:paraId="7264B726" w14:textId="77777777" w:rsidR="009E7160" w:rsidRPr="008519A9" w:rsidRDefault="009E7160" w:rsidP="00885003">
            <w:pPr>
              <w:spacing w:before="240" w:after="200"/>
              <w:jc w:val="both"/>
              <w:rPr>
                <w:sz w:val="18"/>
                <w:szCs w:val="18"/>
                <w:highlight w:val="white"/>
              </w:rPr>
            </w:pPr>
            <w:r w:rsidRPr="008519A9">
              <w:rPr>
                <w:sz w:val="18"/>
                <w:szCs w:val="18"/>
                <w:highlight w:val="white"/>
              </w:rPr>
              <w:t>2022</w:t>
            </w:r>
          </w:p>
        </w:tc>
        <w:tc>
          <w:tcPr>
            <w:tcW w:w="851" w:type="dxa"/>
          </w:tcPr>
          <w:p w14:paraId="1CD31974" w14:textId="77777777" w:rsidR="009E7160" w:rsidRPr="008519A9" w:rsidRDefault="009E7160" w:rsidP="00885003">
            <w:pPr>
              <w:spacing w:before="240" w:after="200"/>
              <w:jc w:val="both"/>
              <w:rPr>
                <w:sz w:val="18"/>
                <w:szCs w:val="18"/>
                <w:highlight w:val="white"/>
              </w:rPr>
            </w:pPr>
            <w:r w:rsidRPr="008519A9">
              <w:rPr>
                <w:sz w:val="18"/>
                <w:szCs w:val="18"/>
                <w:highlight w:val="white"/>
              </w:rPr>
              <w:t>2023</w:t>
            </w:r>
          </w:p>
        </w:tc>
        <w:tc>
          <w:tcPr>
            <w:tcW w:w="850" w:type="dxa"/>
          </w:tcPr>
          <w:p w14:paraId="6984394D" w14:textId="77777777" w:rsidR="009E7160" w:rsidRPr="008519A9" w:rsidRDefault="009E7160" w:rsidP="00885003">
            <w:pPr>
              <w:spacing w:before="240" w:after="200"/>
              <w:jc w:val="both"/>
              <w:rPr>
                <w:sz w:val="18"/>
                <w:szCs w:val="18"/>
                <w:highlight w:val="white"/>
              </w:rPr>
            </w:pPr>
            <w:r w:rsidRPr="008519A9">
              <w:rPr>
                <w:sz w:val="18"/>
                <w:szCs w:val="18"/>
                <w:highlight w:val="white"/>
              </w:rPr>
              <w:t>2024</w:t>
            </w:r>
          </w:p>
        </w:tc>
        <w:tc>
          <w:tcPr>
            <w:tcW w:w="851" w:type="dxa"/>
          </w:tcPr>
          <w:p w14:paraId="109727BA" w14:textId="214C834A" w:rsidR="009E7160" w:rsidRPr="008519A9" w:rsidRDefault="009E7160" w:rsidP="00885003">
            <w:pPr>
              <w:spacing w:before="240" w:after="200"/>
              <w:jc w:val="both"/>
              <w:rPr>
                <w:sz w:val="18"/>
                <w:szCs w:val="18"/>
                <w:highlight w:val="white"/>
              </w:rPr>
            </w:pPr>
            <w:r w:rsidRPr="008519A9">
              <w:rPr>
                <w:sz w:val="18"/>
                <w:szCs w:val="18"/>
                <w:highlight w:val="white"/>
              </w:rPr>
              <w:t>2025</w:t>
            </w:r>
            <w:r w:rsidR="005B2522" w:rsidRPr="008519A9">
              <w:rPr>
                <w:rStyle w:val="Refernciadenotaapeudepgina"/>
                <w:sz w:val="18"/>
                <w:szCs w:val="18"/>
                <w:highlight w:val="white"/>
              </w:rPr>
              <w:footnoteReference w:id="12"/>
            </w:r>
          </w:p>
        </w:tc>
      </w:tr>
      <w:tr w:rsidR="009E7160" w:rsidRPr="008519A9" w14:paraId="44B9A5F2" w14:textId="77777777" w:rsidTr="00885003">
        <w:trPr>
          <w:jc w:val="center"/>
        </w:trPr>
        <w:tc>
          <w:tcPr>
            <w:tcW w:w="2122" w:type="dxa"/>
          </w:tcPr>
          <w:p w14:paraId="35B4E86E" w14:textId="5C38CDC9" w:rsidR="009E7160" w:rsidRPr="008519A9" w:rsidRDefault="009E7160" w:rsidP="00885003">
            <w:pPr>
              <w:spacing w:before="240" w:after="200"/>
              <w:jc w:val="both"/>
              <w:rPr>
                <w:b/>
                <w:bCs/>
                <w:sz w:val="18"/>
                <w:szCs w:val="18"/>
                <w:highlight w:val="white"/>
              </w:rPr>
            </w:pPr>
            <w:r w:rsidRPr="008519A9">
              <w:rPr>
                <w:b/>
                <w:bCs/>
                <w:sz w:val="18"/>
                <w:szCs w:val="18"/>
                <w:highlight w:val="white"/>
              </w:rPr>
              <w:t xml:space="preserve">Núm. </w:t>
            </w:r>
            <w:r w:rsidR="00263BF2">
              <w:rPr>
                <w:b/>
                <w:bCs/>
                <w:sz w:val="18"/>
                <w:szCs w:val="18"/>
                <w:highlight w:val="white"/>
              </w:rPr>
              <w:t>de lanzamientos ejecutados</w:t>
            </w:r>
          </w:p>
        </w:tc>
        <w:tc>
          <w:tcPr>
            <w:tcW w:w="850" w:type="dxa"/>
          </w:tcPr>
          <w:p w14:paraId="78459003" w14:textId="77777777" w:rsidR="009E7160" w:rsidRPr="008519A9" w:rsidRDefault="009E7160" w:rsidP="00885003">
            <w:pPr>
              <w:spacing w:before="240" w:after="200"/>
              <w:jc w:val="both"/>
              <w:rPr>
                <w:sz w:val="18"/>
                <w:szCs w:val="18"/>
                <w:highlight w:val="white"/>
              </w:rPr>
            </w:pPr>
            <w:r w:rsidRPr="008519A9">
              <w:rPr>
                <w:sz w:val="18"/>
                <w:szCs w:val="18"/>
                <w:highlight w:val="white"/>
              </w:rPr>
              <w:t>389</w:t>
            </w:r>
          </w:p>
        </w:tc>
        <w:tc>
          <w:tcPr>
            <w:tcW w:w="851" w:type="dxa"/>
          </w:tcPr>
          <w:p w14:paraId="1FB2AAF1" w14:textId="77777777" w:rsidR="009E7160" w:rsidRPr="008519A9" w:rsidRDefault="009E7160" w:rsidP="00885003">
            <w:pPr>
              <w:spacing w:before="240" w:after="200"/>
              <w:jc w:val="both"/>
              <w:rPr>
                <w:sz w:val="18"/>
                <w:szCs w:val="18"/>
                <w:highlight w:val="white"/>
              </w:rPr>
            </w:pPr>
            <w:r w:rsidRPr="008519A9">
              <w:rPr>
                <w:sz w:val="18"/>
                <w:szCs w:val="18"/>
                <w:highlight w:val="white"/>
              </w:rPr>
              <w:t>257</w:t>
            </w:r>
          </w:p>
        </w:tc>
        <w:tc>
          <w:tcPr>
            <w:tcW w:w="850" w:type="dxa"/>
          </w:tcPr>
          <w:p w14:paraId="2454B01A" w14:textId="77777777" w:rsidR="009E7160" w:rsidRPr="008519A9" w:rsidRDefault="009E7160" w:rsidP="00885003">
            <w:pPr>
              <w:spacing w:before="240" w:after="200"/>
              <w:jc w:val="both"/>
              <w:rPr>
                <w:sz w:val="18"/>
                <w:szCs w:val="18"/>
                <w:highlight w:val="white"/>
              </w:rPr>
            </w:pPr>
            <w:r w:rsidRPr="008519A9">
              <w:rPr>
                <w:sz w:val="18"/>
                <w:szCs w:val="18"/>
                <w:highlight w:val="white"/>
              </w:rPr>
              <w:t>402</w:t>
            </w:r>
          </w:p>
        </w:tc>
        <w:tc>
          <w:tcPr>
            <w:tcW w:w="851" w:type="dxa"/>
          </w:tcPr>
          <w:p w14:paraId="5FF49309" w14:textId="77777777" w:rsidR="009E7160" w:rsidRPr="008519A9" w:rsidRDefault="009E7160" w:rsidP="00885003">
            <w:pPr>
              <w:spacing w:before="240" w:after="200"/>
              <w:jc w:val="both"/>
              <w:rPr>
                <w:sz w:val="18"/>
                <w:szCs w:val="18"/>
                <w:highlight w:val="white"/>
              </w:rPr>
            </w:pPr>
            <w:r w:rsidRPr="008519A9">
              <w:rPr>
                <w:sz w:val="18"/>
                <w:szCs w:val="18"/>
                <w:highlight w:val="white"/>
              </w:rPr>
              <w:t>275</w:t>
            </w:r>
          </w:p>
        </w:tc>
      </w:tr>
      <w:tr w:rsidR="00E24866" w:rsidRPr="008519A9" w14:paraId="06846D63" w14:textId="77777777" w:rsidTr="00885003">
        <w:trPr>
          <w:jc w:val="center"/>
        </w:trPr>
        <w:tc>
          <w:tcPr>
            <w:tcW w:w="2122" w:type="dxa"/>
          </w:tcPr>
          <w:p w14:paraId="2120216A" w14:textId="7A4503C6" w:rsidR="00E24866" w:rsidRPr="008519A9" w:rsidRDefault="00263BF2" w:rsidP="00E24866">
            <w:pPr>
              <w:spacing w:before="240" w:after="200"/>
              <w:jc w:val="both"/>
              <w:rPr>
                <w:b/>
                <w:bCs/>
                <w:sz w:val="18"/>
                <w:szCs w:val="18"/>
                <w:highlight w:val="white"/>
              </w:rPr>
            </w:pPr>
            <w:r w:rsidRPr="008519A9">
              <w:rPr>
                <w:b/>
                <w:bCs/>
                <w:sz w:val="18"/>
                <w:szCs w:val="18"/>
                <w:highlight w:val="white"/>
              </w:rPr>
              <w:lastRenderedPageBreak/>
              <w:t>Núm. expedientes de la mesa de valoración</w:t>
            </w:r>
          </w:p>
        </w:tc>
        <w:tc>
          <w:tcPr>
            <w:tcW w:w="850" w:type="dxa"/>
          </w:tcPr>
          <w:p w14:paraId="68AE9395" w14:textId="77777777" w:rsidR="00E24866" w:rsidRPr="008519A9" w:rsidRDefault="00E24866" w:rsidP="00E24866">
            <w:pPr>
              <w:spacing w:before="240" w:after="200"/>
              <w:jc w:val="both"/>
              <w:rPr>
                <w:sz w:val="18"/>
                <w:szCs w:val="18"/>
                <w:highlight w:val="white"/>
              </w:rPr>
            </w:pPr>
            <w:r w:rsidRPr="008519A9">
              <w:rPr>
                <w:sz w:val="18"/>
                <w:szCs w:val="18"/>
                <w:highlight w:val="white"/>
              </w:rPr>
              <w:t>56</w:t>
            </w:r>
          </w:p>
        </w:tc>
        <w:tc>
          <w:tcPr>
            <w:tcW w:w="851" w:type="dxa"/>
          </w:tcPr>
          <w:p w14:paraId="0C609E30" w14:textId="77777777" w:rsidR="00E24866" w:rsidRPr="008519A9" w:rsidRDefault="00E24866" w:rsidP="00E24866">
            <w:pPr>
              <w:spacing w:before="240" w:after="200"/>
              <w:jc w:val="both"/>
              <w:rPr>
                <w:sz w:val="18"/>
                <w:szCs w:val="18"/>
                <w:highlight w:val="white"/>
              </w:rPr>
            </w:pPr>
            <w:r w:rsidRPr="008519A9">
              <w:rPr>
                <w:sz w:val="18"/>
                <w:szCs w:val="18"/>
                <w:highlight w:val="white"/>
              </w:rPr>
              <w:t>92</w:t>
            </w:r>
          </w:p>
        </w:tc>
        <w:tc>
          <w:tcPr>
            <w:tcW w:w="850" w:type="dxa"/>
          </w:tcPr>
          <w:p w14:paraId="71A14FDB" w14:textId="77777777" w:rsidR="00E24866" w:rsidRPr="008519A9" w:rsidRDefault="00E24866" w:rsidP="00E24866">
            <w:pPr>
              <w:spacing w:before="240" w:after="200"/>
              <w:jc w:val="both"/>
              <w:rPr>
                <w:sz w:val="18"/>
                <w:szCs w:val="18"/>
                <w:highlight w:val="white"/>
              </w:rPr>
            </w:pPr>
            <w:r w:rsidRPr="008519A9">
              <w:rPr>
                <w:sz w:val="18"/>
                <w:szCs w:val="18"/>
                <w:highlight w:val="white"/>
              </w:rPr>
              <w:t>12</w:t>
            </w:r>
          </w:p>
        </w:tc>
        <w:tc>
          <w:tcPr>
            <w:tcW w:w="851" w:type="dxa"/>
          </w:tcPr>
          <w:p w14:paraId="54817C25" w14:textId="77777777" w:rsidR="00E24866" w:rsidRPr="008519A9" w:rsidRDefault="00E24866" w:rsidP="00E24866">
            <w:pPr>
              <w:spacing w:before="240" w:after="200"/>
              <w:jc w:val="both"/>
              <w:rPr>
                <w:sz w:val="18"/>
                <w:szCs w:val="18"/>
                <w:highlight w:val="white"/>
              </w:rPr>
            </w:pPr>
          </w:p>
        </w:tc>
      </w:tr>
      <w:tr w:rsidR="00E24866" w:rsidRPr="008519A9" w14:paraId="24FDA753" w14:textId="77777777" w:rsidTr="00885003">
        <w:trPr>
          <w:jc w:val="center"/>
        </w:trPr>
        <w:tc>
          <w:tcPr>
            <w:tcW w:w="2122" w:type="dxa"/>
          </w:tcPr>
          <w:p w14:paraId="21652F8E" w14:textId="60D86637" w:rsidR="00E24866" w:rsidRPr="008519A9" w:rsidRDefault="00263BF2" w:rsidP="00E24866">
            <w:pPr>
              <w:spacing w:before="240" w:after="200"/>
              <w:jc w:val="both"/>
              <w:rPr>
                <w:b/>
                <w:bCs/>
                <w:sz w:val="18"/>
                <w:szCs w:val="18"/>
                <w:highlight w:val="white"/>
              </w:rPr>
            </w:pPr>
            <w:r w:rsidRPr="008519A9">
              <w:rPr>
                <w:b/>
                <w:bCs/>
                <w:sz w:val="18"/>
                <w:szCs w:val="18"/>
                <w:highlight w:val="white"/>
              </w:rPr>
              <w:t>Núm. expedientes con vivienda adjudicada</w:t>
            </w:r>
          </w:p>
        </w:tc>
        <w:tc>
          <w:tcPr>
            <w:tcW w:w="850" w:type="dxa"/>
          </w:tcPr>
          <w:p w14:paraId="41DE2417" w14:textId="77777777" w:rsidR="00E24866" w:rsidRPr="008519A9" w:rsidRDefault="00E24866" w:rsidP="00E24866">
            <w:pPr>
              <w:spacing w:before="240" w:after="200"/>
              <w:jc w:val="both"/>
              <w:rPr>
                <w:sz w:val="18"/>
                <w:szCs w:val="18"/>
                <w:highlight w:val="white"/>
              </w:rPr>
            </w:pPr>
            <w:r w:rsidRPr="008519A9">
              <w:rPr>
                <w:sz w:val="18"/>
                <w:szCs w:val="18"/>
                <w:highlight w:val="white"/>
              </w:rPr>
              <w:t>15</w:t>
            </w:r>
          </w:p>
        </w:tc>
        <w:tc>
          <w:tcPr>
            <w:tcW w:w="851" w:type="dxa"/>
          </w:tcPr>
          <w:p w14:paraId="021B6777" w14:textId="77777777" w:rsidR="00E24866" w:rsidRPr="008519A9" w:rsidRDefault="00E24866" w:rsidP="00E24866">
            <w:pPr>
              <w:spacing w:before="240" w:after="200"/>
              <w:jc w:val="both"/>
              <w:rPr>
                <w:sz w:val="18"/>
                <w:szCs w:val="18"/>
                <w:highlight w:val="white"/>
              </w:rPr>
            </w:pPr>
            <w:r w:rsidRPr="008519A9">
              <w:rPr>
                <w:sz w:val="18"/>
                <w:szCs w:val="18"/>
                <w:highlight w:val="white"/>
              </w:rPr>
              <w:t>15</w:t>
            </w:r>
          </w:p>
        </w:tc>
        <w:tc>
          <w:tcPr>
            <w:tcW w:w="850" w:type="dxa"/>
          </w:tcPr>
          <w:p w14:paraId="705D034A" w14:textId="77777777" w:rsidR="00E24866" w:rsidRPr="008519A9" w:rsidRDefault="00E24866" w:rsidP="00E24866">
            <w:pPr>
              <w:spacing w:before="240" w:after="200"/>
              <w:jc w:val="both"/>
              <w:rPr>
                <w:sz w:val="18"/>
                <w:szCs w:val="18"/>
                <w:highlight w:val="white"/>
              </w:rPr>
            </w:pPr>
            <w:r w:rsidRPr="008519A9">
              <w:rPr>
                <w:sz w:val="18"/>
                <w:szCs w:val="18"/>
                <w:highlight w:val="white"/>
              </w:rPr>
              <w:t>1</w:t>
            </w:r>
          </w:p>
        </w:tc>
        <w:tc>
          <w:tcPr>
            <w:tcW w:w="851" w:type="dxa"/>
          </w:tcPr>
          <w:p w14:paraId="3B541D87" w14:textId="77777777" w:rsidR="00E24866" w:rsidRPr="008519A9" w:rsidRDefault="00E24866" w:rsidP="00E24866">
            <w:pPr>
              <w:spacing w:before="240" w:after="200"/>
              <w:jc w:val="both"/>
              <w:rPr>
                <w:sz w:val="18"/>
                <w:szCs w:val="18"/>
                <w:highlight w:val="white"/>
              </w:rPr>
            </w:pPr>
            <w:r w:rsidRPr="008519A9">
              <w:rPr>
                <w:sz w:val="18"/>
                <w:szCs w:val="18"/>
                <w:highlight w:val="white"/>
              </w:rPr>
              <w:t>4</w:t>
            </w:r>
          </w:p>
        </w:tc>
      </w:tr>
      <w:tr w:rsidR="00E24866" w:rsidRPr="008519A9" w14:paraId="0B7FA6C8" w14:textId="77777777" w:rsidTr="00885003">
        <w:trPr>
          <w:jc w:val="center"/>
        </w:trPr>
        <w:tc>
          <w:tcPr>
            <w:tcW w:w="2122" w:type="dxa"/>
          </w:tcPr>
          <w:p w14:paraId="3208E87B" w14:textId="10005D21" w:rsidR="00E24866" w:rsidRPr="008519A9" w:rsidRDefault="00263BF2" w:rsidP="00E24866">
            <w:pPr>
              <w:spacing w:before="240" w:after="200"/>
              <w:jc w:val="both"/>
              <w:rPr>
                <w:b/>
                <w:bCs/>
                <w:sz w:val="18"/>
                <w:szCs w:val="18"/>
                <w:highlight w:val="white"/>
              </w:rPr>
            </w:pPr>
            <w:r w:rsidRPr="008519A9">
              <w:rPr>
                <w:b/>
                <w:bCs/>
                <w:sz w:val="18"/>
                <w:szCs w:val="18"/>
                <w:highlight w:val="white"/>
              </w:rPr>
              <w:t>Porcentaje de viviendas adjudicadas respecto el número de expedientes de la mesa (%)</w:t>
            </w:r>
          </w:p>
        </w:tc>
        <w:tc>
          <w:tcPr>
            <w:tcW w:w="850" w:type="dxa"/>
            <w:vAlign w:val="center"/>
          </w:tcPr>
          <w:p w14:paraId="1ACB7B8C" w14:textId="2204823F" w:rsidR="00E24866" w:rsidRPr="008519A9" w:rsidRDefault="00E24866" w:rsidP="00E24866">
            <w:pPr>
              <w:spacing w:before="240" w:after="200"/>
              <w:jc w:val="both"/>
              <w:rPr>
                <w:sz w:val="18"/>
                <w:szCs w:val="18"/>
                <w:highlight w:val="white"/>
              </w:rPr>
            </w:pPr>
            <w:r w:rsidRPr="008519A9">
              <w:rPr>
                <w:sz w:val="18"/>
                <w:szCs w:val="18"/>
                <w:highlight w:val="white"/>
              </w:rPr>
              <w:t>26,7</w:t>
            </w:r>
          </w:p>
        </w:tc>
        <w:tc>
          <w:tcPr>
            <w:tcW w:w="851" w:type="dxa"/>
            <w:vAlign w:val="center"/>
          </w:tcPr>
          <w:p w14:paraId="0B4F5A91" w14:textId="22058002" w:rsidR="00E24866" w:rsidRPr="008519A9" w:rsidRDefault="00E24866" w:rsidP="00E24866">
            <w:pPr>
              <w:spacing w:before="240" w:after="200"/>
              <w:jc w:val="both"/>
              <w:rPr>
                <w:sz w:val="18"/>
                <w:szCs w:val="18"/>
                <w:highlight w:val="white"/>
              </w:rPr>
            </w:pPr>
            <w:r w:rsidRPr="008519A9">
              <w:rPr>
                <w:sz w:val="18"/>
                <w:szCs w:val="18"/>
                <w:highlight w:val="white"/>
              </w:rPr>
              <w:t>16</w:t>
            </w:r>
          </w:p>
        </w:tc>
        <w:tc>
          <w:tcPr>
            <w:tcW w:w="850" w:type="dxa"/>
            <w:vAlign w:val="center"/>
          </w:tcPr>
          <w:p w14:paraId="7E5222B2" w14:textId="02BBDC92" w:rsidR="00E24866" w:rsidRPr="008519A9" w:rsidRDefault="00E24866" w:rsidP="00E24866">
            <w:pPr>
              <w:spacing w:before="240" w:after="200"/>
              <w:jc w:val="both"/>
              <w:rPr>
                <w:sz w:val="18"/>
                <w:szCs w:val="18"/>
                <w:highlight w:val="white"/>
              </w:rPr>
            </w:pPr>
            <w:r w:rsidRPr="008519A9">
              <w:rPr>
                <w:sz w:val="18"/>
                <w:szCs w:val="18"/>
                <w:highlight w:val="white"/>
              </w:rPr>
              <w:t>8,3</w:t>
            </w:r>
          </w:p>
        </w:tc>
        <w:tc>
          <w:tcPr>
            <w:tcW w:w="851" w:type="dxa"/>
            <w:vAlign w:val="center"/>
          </w:tcPr>
          <w:p w14:paraId="300A0572" w14:textId="5AD4F785" w:rsidR="00E24866" w:rsidRPr="008519A9" w:rsidRDefault="00E24866" w:rsidP="00E24866">
            <w:pPr>
              <w:spacing w:before="240" w:after="200"/>
              <w:jc w:val="both"/>
              <w:rPr>
                <w:sz w:val="18"/>
                <w:szCs w:val="18"/>
                <w:highlight w:val="white"/>
              </w:rPr>
            </w:pPr>
          </w:p>
        </w:tc>
      </w:tr>
      <w:tr w:rsidR="00E24866" w:rsidRPr="008519A9" w14:paraId="4DBA49F3" w14:textId="77777777" w:rsidTr="00885003">
        <w:trPr>
          <w:jc w:val="center"/>
        </w:trPr>
        <w:tc>
          <w:tcPr>
            <w:tcW w:w="2122" w:type="dxa"/>
          </w:tcPr>
          <w:p w14:paraId="3B2DFB42" w14:textId="1449CCE3" w:rsidR="00E24866" w:rsidRPr="008519A9" w:rsidRDefault="00263BF2" w:rsidP="00E24866">
            <w:pPr>
              <w:spacing w:before="240" w:after="200"/>
              <w:jc w:val="both"/>
              <w:rPr>
                <w:b/>
                <w:bCs/>
                <w:sz w:val="18"/>
                <w:szCs w:val="18"/>
                <w:highlight w:val="white"/>
              </w:rPr>
            </w:pPr>
            <w:r w:rsidRPr="008519A9">
              <w:rPr>
                <w:b/>
                <w:bCs/>
                <w:sz w:val="18"/>
                <w:szCs w:val="18"/>
                <w:highlight w:val="white"/>
              </w:rPr>
              <w:t>Porcentaje de viviendas adjudicadas respecto el total de lanzamientos ejecutados (%)</w:t>
            </w:r>
          </w:p>
        </w:tc>
        <w:tc>
          <w:tcPr>
            <w:tcW w:w="850" w:type="dxa"/>
            <w:vAlign w:val="center"/>
          </w:tcPr>
          <w:p w14:paraId="6E0CDA15" w14:textId="7DFE12F2" w:rsidR="00E24866" w:rsidRPr="008519A9" w:rsidRDefault="00E24866" w:rsidP="00E24866">
            <w:pPr>
              <w:spacing w:before="240" w:after="200"/>
              <w:jc w:val="both"/>
              <w:rPr>
                <w:color w:val="000000" w:themeColor="text1"/>
                <w:sz w:val="18"/>
                <w:szCs w:val="18"/>
              </w:rPr>
            </w:pPr>
            <w:r w:rsidRPr="008519A9">
              <w:rPr>
                <w:color w:val="000000" w:themeColor="text1"/>
                <w:sz w:val="18"/>
                <w:szCs w:val="18"/>
              </w:rPr>
              <w:t>3,8</w:t>
            </w:r>
          </w:p>
        </w:tc>
        <w:tc>
          <w:tcPr>
            <w:tcW w:w="851" w:type="dxa"/>
            <w:vAlign w:val="center"/>
          </w:tcPr>
          <w:p w14:paraId="7E173FED" w14:textId="15967A5F" w:rsidR="00E24866" w:rsidRPr="008519A9" w:rsidRDefault="00E24866" w:rsidP="00E24866">
            <w:pPr>
              <w:spacing w:before="240" w:after="200"/>
              <w:jc w:val="both"/>
              <w:rPr>
                <w:color w:val="000000" w:themeColor="text1"/>
                <w:sz w:val="18"/>
                <w:szCs w:val="18"/>
              </w:rPr>
            </w:pPr>
            <w:r w:rsidRPr="008519A9">
              <w:rPr>
                <w:color w:val="000000" w:themeColor="text1"/>
                <w:sz w:val="18"/>
                <w:szCs w:val="18"/>
              </w:rPr>
              <w:t>6,2</w:t>
            </w:r>
          </w:p>
        </w:tc>
        <w:tc>
          <w:tcPr>
            <w:tcW w:w="850" w:type="dxa"/>
            <w:vAlign w:val="center"/>
          </w:tcPr>
          <w:p w14:paraId="5CFC614E" w14:textId="7160AB35" w:rsidR="00E24866" w:rsidRPr="008519A9" w:rsidRDefault="00E24866" w:rsidP="00E24866">
            <w:pPr>
              <w:spacing w:before="240" w:after="200"/>
              <w:jc w:val="both"/>
              <w:rPr>
                <w:color w:val="000000" w:themeColor="text1"/>
                <w:sz w:val="18"/>
                <w:szCs w:val="18"/>
              </w:rPr>
            </w:pPr>
            <w:r w:rsidRPr="008519A9">
              <w:rPr>
                <w:color w:val="000000" w:themeColor="text1"/>
                <w:sz w:val="18"/>
                <w:szCs w:val="18"/>
              </w:rPr>
              <w:t>0,24</w:t>
            </w:r>
          </w:p>
        </w:tc>
        <w:tc>
          <w:tcPr>
            <w:tcW w:w="851" w:type="dxa"/>
            <w:vAlign w:val="center"/>
          </w:tcPr>
          <w:p w14:paraId="592DD110" w14:textId="7B0ACC74" w:rsidR="00E24866" w:rsidRPr="008519A9" w:rsidRDefault="00E24866" w:rsidP="00E24866">
            <w:pPr>
              <w:spacing w:before="240" w:after="200"/>
              <w:jc w:val="both"/>
              <w:rPr>
                <w:color w:val="000000" w:themeColor="text1"/>
                <w:sz w:val="18"/>
                <w:szCs w:val="18"/>
              </w:rPr>
            </w:pPr>
            <w:r w:rsidRPr="008519A9">
              <w:rPr>
                <w:color w:val="000000" w:themeColor="text1"/>
                <w:sz w:val="18"/>
                <w:szCs w:val="18"/>
              </w:rPr>
              <w:t>1,4</w:t>
            </w:r>
          </w:p>
        </w:tc>
      </w:tr>
    </w:tbl>
    <w:p w14:paraId="2F2D29E4" w14:textId="7D68610D" w:rsidR="009E7160" w:rsidRPr="008519A9" w:rsidRDefault="009E7160" w:rsidP="00BE7268">
      <w:pPr>
        <w:spacing w:before="240" w:after="200"/>
        <w:jc w:val="both"/>
      </w:pPr>
    </w:p>
    <w:p w14:paraId="37DABBDF" w14:textId="0768B9C5" w:rsidR="009E7160" w:rsidRPr="008519A9" w:rsidRDefault="00E56E94" w:rsidP="00BE7268">
      <w:pPr>
        <w:spacing w:before="240" w:after="200"/>
        <w:jc w:val="both"/>
      </w:pPr>
      <w:r w:rsidRPr="008519A9">
        <w:t xml:space="preserve">En este sentido, el caso de la familia de Younes Oucharaa, su mujer y sus tres hijos menores de edad </w:t>
      </w:r>
      <w:r w:rsidR="0009720E" w:rsidRPr="008519A9">
        <w:t>es uno de los ejemplos que demuestra este incumplimiento estructural</w:t>
      </w:r>
      <w:r w:rsidRPr="008519A9">
        <w:t>. La única alternativa que se ofreció a la familia pasaba por separar a la familia</w:t>
      </w:r>
      <w:r w:rsidR="00C172FD" w:rsidRPr="008519A9">
        <w:rPr>
          <w:rStyle w:val="Refernciadenotaapeudepgina"/>
        </w:rPr>
        <w:footnoteReference w:id="13"/>
      </w:r>
      <w:r w:rsidRPr="008519A9">
        <w:t xml:space="preserve">, lo </w:t>
      </w:r>
      <w:r w:rsidR="00C172FD" w:rsidRPr="008519A9">
        <w:t>cual</w:t>
      </w:r>
      <w:r w:rsidRPr="008519A9">
        <w:t xml:space="preserve"> es contrario al derecho </w:t>
      </w:r>
      <w:r w:rsidR="004617A9" w:rsidRPr="008519A9">
        <w:t>a la intimidad familiar (artículo 18.1 CE)</w:t>
      </w:r>
      <w:r w:rsidR="00C172FD" w:rsidRPr="008519A9">
        <w:t>, tal y como ha establecido, entre otros, el propio Comité de Derechos Económicos, Sociales y Culturales de las Naciones Unidas</w:t>
      </w:r>
      <w:r w:rsidR="00DF73A5" w:rsidRPr="008519A9">
        <w:rPr>
          <w:rStyle w:val="Refernciadenotaapeudepgina"/>
        </w:rPr>
        <w:footnoteReference w:id="14"/>
      </w:r>
      <w:r w:rsidR="00BE0DE8" w:rsidRPr="008519A9">
        <w:t xml:space="preserve">, por lo que la familia tuvo que acceder a una infravivienda para evitar la situación de sinhogarismo. </w:t>
      </w:r>
    </w:p>
    <w:p w14:paraId="3E6F6F4A" w14:textId="4ADC8BE7" w:rsidR="00C0286B" w:rsidRPr="008519A9" w:rsidRDefault="00C0286B" w:rsidP="00BE7268">
      <w:pPr>
        <w:spacing w:before="240" w:after="200"/>
        <w:jc w:val="both"/>
      </w:pPr>
      <w:r w:rsidRPr="008519A9">
        <w:t>Existe constancia de más</w:t>
      </w:r>
      <w:r w:rsidR="00916D38" w:rsidRPr="008519A9">
        <w:t xml:space="preserve"> casos en que, a pesar de la existencia de menores, no se han ofrecido alternativas residenciales dignas a la familia</w:t>
      </w:r>
      <w:r w:rsidR="00916D38" w:rsidRPr="008519A9">
        <w:rPr>
          <w:rStyle w:val="Refernciadenotaapeudepgina"/>
        </w:rPr>
        <w:footnoteReference w:id="15"/>
      </w:r>
      <w:r w:rsidR="00916D38" w:rsidRPr="008519A9">
        <w:t xml:space="preserve">. </w:t>
      </w:r>
    </w:p>
    <w:p w14:paraId="35967663" w14:textId="7172B4CA" w:rsidR="00DD5983" w:rsidRPr="008519A9" w:rsidRDefault="00006914" w:rsidP="00DD5983">
      <w:pPr>
        <w:spacing w:before="240" w:after="200"/>
        <w:jc w:val="both"/>
      </w:pPr>
      <w:r w:rsidRPr="008519A9">
        <w:rPr>
          <w:b/>
          <w:bCs/>
          <w:color w:val="388600"/>
        </w:rPr>
        <w:t xml:space="preserve">(PARTE GENERAL PARA TODOS) </w:t>
      </w:r>
      <w:r w:rsidR="00195BB0" w:rsidRPr="008519A9">
        <w:t>Por todo ello, se ha desvirtuado la presunción de existencia de recursos públicos suficientes para realojar de manera efectiva a las personas que se encuentran en un proceso de desahucio</w:t>
      </w:r>
      <w:r w:rsidR="00263BF2">
        <w:t xml:space="preserve">, </w:t>
      </w:r>
      <w:r w:rsidR="00263BF2" w:rsidRPr="00263BF2">
        <w:rPr>
          <w:u w:val="single"/>
        </w:rPr>
        <w:t>sin que las administraciones públicas competentes hayan informado sobre medidas concretas para evitar la situación de sinhogarismo</w:t>
      </w:r>
      <w:r w:rsidR="00263BF2">
        <w:t xml:space="preserve">. </w:t>
      </w:r>
    </w:p>
    <w:p w14:paraId="7034FDB2" w14:textId="7D9ACE0F" w:rsidR="00DD5983" w:rsidRPr="008B4043" w:rsidRDefault="00831915" w:rsidP="00DD5983">
      <w:pPr>
        <w:spacing w:before="240" w:after="200"/>
        <w:jc w:val="both"/>
        <w:rPr>
          <w:b/>
          <w:bCs/>
        </w:rPr>
      </w:pPr>
      <w:r>
        <w:rPr>
          <w:b/>
          <w:bCs/>
        </w:rPr>
        <w:t>QUINTA</w:t>
      </w:r>
      <w:r w:rsidR="00DD5983" w:rsidRPr="008B4043">
        <w:rPr>
          <w:b/>
          <w:bCs/>
        </w:rPr>
        <w:t>. DE LA</w:t>
      </w:r>
      <w:r w:rsidR="00692861" w:rsidRPr="008B4043">
        <w:rPr>
          <w:b/>
          <w:bCs/>
        </w:rPr>
        <w:t xml:space="preserve"> FUNCIÓN TUITIVA DE LOS TRIBUNALES Y LA</w:t>
      </w:r>
      <w:r w:rsidR="00DD5983" w:rsidRPr="008B4043">
        <w:rPr>
          <w:b/>
          <w:bCs/>
        </w:rPr>
        <w:t xml:space="preserve"> NECESIDAD DE </w:t>
      </w:r>
      <w:r w:rsidR="00AD3D03" w:rsidRPr="008B4043">
        <w:rPr>
          <w:b/>
          <w:bCs/>
        </w:rPr>
        <w:t>CONSTATAR</w:t>
      </w:r>
      <w:r w:rsidR="00DD5983" w:rsidRPr="008B4043">
        <w:rPr>
          <w:b/>
          <w:bCs/>
        </w:rPr>
        <w:t xml:space="preserve"> EX ANTE UNA ALTERNATIVA RESIDENCIAL</w:t>
      </w:r>
      <w:r w:rsidR="00C82AA0" w:rsidRPr="008B4043">
        <w:rPr>
          <w:b/>
          <w:bCs/>
        </w:rPr>
        <w:t xml:space="preserve"> POR PARTE DE LAS ADMINISTRACIONES PÚBLICAS</w:t>
      </w:r>
    </w:p>
    <w:p w14:paraId="595F557C" w14:textId="27D89015" w:rsidR="00CE2585" w:rsidRPr="008519A9" w:rsidRDefault="00CE2585" w:rsidP="00DD5983">
      <w:pPr>
        <w:spacing w:before="240" w:after="200"/>
        <w:jc w:val="both"/>
      </w:pPr>
      <w:r w:rsidRPr="008519A9">
        <w:lastRenderedPageBreak/>
        <w:t xml:space="preserve">De la jurisprudencia del Tribunal Constitucional en materia de procedimientos de desahucios que afectan a personas y unidades de convivencia en situación de vulnerabilidad, se puede deducir una </w:t>
      </w:r>
      <w:r w:rsidRPr="008519A9">
        <w:rPr>
          <w:b/>
          <w:bCs/>
        </w:rPr>
        <w:t>configuración de los Tribunales como órganos jurisdiccionales de garantías con funciones tuitivas de protección de las personas más vulnerables</w:t>
      </w:r>
      <w:r w:rsidRPr="008519A9">
        <w:t>.</w:t>
      </w:r>
    </w:p>
    <w:p w14:paraId="53D96C2A" w14:textId="116A3EE8" w:rsidR="00CE2585" w:rsidRPr="008519A9" w:rsidRDefault="00CE2585" w:rsidP="00DD5983">
      <w:pPr>
        <w:spacing w:before="240" w:after="200"/>
        <w:jc w:val="both"/>
      </w:pPr>
      <w:r w:rsidRPr="008519A9">
        <w:t xml:space="preserve">En este sentido, la sentencia del Tribunal Constitucional núm. 126/2024, de 21 de octubre de 2024, establece la necesidad de una motivación reforzada en supuestos de desahucios de menores. En la misma línea, las sentencias del Tribunal Constitucional </w:t>
      </w:r>
      <w:r w:rsidR="005306D9" w:rsidRPr="008519A9">
        <w:t>núm.</w:t>
      </w:r>
      <w:r w:rsidR="005306D9">
        <w:t xml:space="preserve"> </w:t>
      </w:r>
      <w:r w:rsidRPr="008519A9">
        <w:t xml:space="preserve">113/2021, del 31 de mayo del 2021, y </w:t>
      </w:r>
      <w:r w:rsidR="005306D9" w:rsidRPr="008519A9">
        <w:t>núm.</w:t>
      </w:r>
      <w:r w:rsidR="005306D9">
        <w:t xml:space="preserve"> </w:t>
      </w:r>
      <w:r w:rsidRPr="008519A9">
        <w:t xml:space="preserve">161/2021, del 4 de octubre del 2021 recogen que la inexistencia de motivos formales de oposición para supuestos de desalojo no pueden ser obstáculos para la motivación de los intereses en lugar: </w:t>
      </w:r>
    </w:p>
    <w:p w14:paraId="0413D514" w14:textId="77777777" w:rsidR="0076683F" w:rsidRPr="008519A9" w:rsidRDefault="0076683F" w:rsidP="0076683F">
      <w:pPr>
        <w:spacing w:before="240" w:after="200"/>
        <w:ind w:left="720" w:firstLine="720"/>
        <w:jc w:val="both"/>
        <w:rPr>
          <w:i/>
          <w:iCs/>
        </w:rPr>
      </w:pPr>
      <w:r w:rsidRPr="008519A9">
        <w:rPr>
          <w:i/>
          <w:iCs/>
          <w:u w:val="single"/>
        </w:rPr>
        <w:t>Un listado cerrado o tasado de oposición previsto en una norma procesal, que responde a unos fines legítimos muy concretos, no exime del deber de motivación reforzada que incumbe al órgano judicial cuando puede estar afectada la protección de los menores, de las personas con discapacidad y de las familias dispensada por la Constitución y los instrumentos normativos del derecho regional e internacional de derechos humanos suscritos por España</w:t>
      </w:r>
      <w:r w:rsidRPr="008519A9">
        <w:rPr>
          <w:i/>
          <w:iCs/>
        </w:rPr>
        <w:t>.</w:t>
      </w:r>
    </w:p>
    <w:p w14:paraId="6B6B5B0D" w14:textId="63C75E38" w:rsidR="0076683F" w:rsidRPr="008519A9" w:rsidRDefault="0076683F" w:rsidP="0076683F">
      <w:pPr>
        <w:spacing w:before="240" w:after="200"/>
        <w:ind w:left="720" w:firstLine="720"/>
        <w:jc w:val="both"/>
        <w:rPr>
          <w:i/>
          <w:iCs/>
        </w:rPr>
      </w:pPr>
      <w:r w:rsidRPr="008519A9">
        <w:rPr>
          <w:i/>
          <w:iCs/>
        </w:rPr>
        <w:t xml:space="preserve">Por tanto, en el presente caso, el Tribunal concluye que en las circunstancias concurrentes una respuesta como la dada por los órganos judiciales a la demandante de amparo, que se limita a constatar la inexistencia legal de una causa de oposición a la ejecución, que se fundamentaba en determinados aspectos sobrevenidos al procedimiento declarativo y se basaba en garantías constitucionales, como son las reconocidas en los arts. 39 y 49 CE y en derechos fundamentales reconocidos en instrumentos internacionales, vulnera el derecho a la tutela judicial efectiva (art. 24.1 CE) (STC </w:t>
      </w:r>
      <w:r w:rsidR="005306D9" w:rsidRPr="008519A9">
        <w:t>núm.</w:t>
      </w:r>
      <w:r w:rsidRPr="008519A9">
        <w:rPr>
          <w:i/>
          <w:iCs/>
        </w:rPr>
        <w:t xml:space="preserve"> 113/2021).</w:t>
      </w:r>
    </w:p>
    <w:p w14:paraId="040D8AAD" w14:textId="0881D475" w:rsidR="00DD5983" w:rsidRPr="008519A9" w:rsidRDefault="00CE2585" w:rsidP="00DD5983">
      <w:pPr>
        <w:spacing w:before="240" w:after="200"/>
        <w:jc w:val="both"/>
      </w:pPr>
      <w:r w:rsidRPr="008519A9">
        <w:t xml:space="preserve">Así pues, constitucionalmente los Tribunales se configuran como órganos jurisdiccionales de garantías con funciones tuitivas de protección de las personas más vulnerables, como las afectadas por el lanzamiento señalado en el presente procedimiento. </w:t>
      </w:r>
    </w:p>
    <w:p w14:paraId="0A20EEBD" w14:textId="59F16F1F" w:rsidR="00DF1C50" w:rsidRDefault="008519A9" w:rsidP="00DD5983">
      <w:pPr>
        <w:spacing w:before="240" w:after="200"/>
        <w:jc w:val="both"/>
      </w:pPr>
      <w:r w:rsidRPr="008519A9">
        <w:t xml:space="preserve">Por esta razón, </w:t>
      </w:r>
      <w:r w:rsidRPr="008B4043">
        <w:rPr>
          <w:b/>
          <w:bCs/>
        </w:rPr>
        <w:t xml:space="preserve">el Tribunal Supremo ha establecido la necesidad de </w:t>
      </w:r>
      <w:r w:rsidR="00DF1C50" w:rsidRPr="008B4043">
        <w:rPr>
          <w:b/>
          <w:bCs/>
        </w:rPr>
        <w:t>comprobar</w:t>
      </w:r>
      <w:r w:rsidRPr="008B4043">
        <w:rPr>
          <w:b/>
          <w:bCs/>
        </w:rPr>
        <w:t xml:space="preserve"> ex ante la </w:t>
      </w:r>
      <w:r w:rsidR="00DF1C50" w:rsidRPr="008B4043">
        <w:rPr>
          <w:b/>
          <w:bCs/>
        </w:rPr>
        <w:t>existencia</w:t>
      </w:r>
      <w:r w:rsidRPr="008B4043">
        <w:rPr>
          <w:b/>
          <w:bCs/>
        </w:rPr>
        <w:t xml:space="preserve"> de </w:t>
      </w:r>
      <w:r w:rsidR="00DF1C50" w:rsidRPr="008B4043">
        <w:rPr>
          <w:b/>
          <w:bCs/>
        </w:rPr>
        <w:t>alternativas residenciales para aquellas familias vulnerables</w:t>
      </w:r>
      <w:r w:rsidR="00DF1C50">
        <w:t xml:space="preserve">: </w:t>
      </w:r>
    </w:p>
    <w:p w14:paraId="669570C1" w14:textId="77777777" w:rsidR="008B4043" w:rsidRPr="008B4043" w:rsidRDefault="008B4043" w:rsidP="008B4043">
      <w:pPr>
        <w:spacing w:before="240" w:after="200"/>
        <w:jc w:val="both"/>
        <w:rPr>
          <w:lang w:val="ca-ES"/>
        </w:rPr>
      </w:pPr>
    </w:p>
    <w:p w14:paraId="254388EA" w14:textId="43E565A0" w:rsidR="00DF1C50" w:rsidRPr="008B4043" w:rsidRDefault="008B4043" w:rsidP="008B4043">
      <w:pPr>
        <w:spacing w:before="240" w:after="200"/>
        <w:ind w:left="720" w:firstLine="720"/>
        <w:jc w:val="both"/>
        <w:rPr>
          <w:i/>
          <w:iCs/>
          <w:lang w:val="ca-ES"/>
        </w:rPr>
      </w:pPr>
      <w:r w:rsidRPr="008B4043">
        <w:rPr>
          <w:i/>
          <w:iCs/>
          <w:lang w:val="ca-ES"/>
        </w:rPr>
        <w:t xml:space="preserve">El reconocimiento de estos derechos de los menores no es meramente declarativa, antes bien, obliga a los órganos jurisdiccionales a procurar su efectividad, y a tal fin las Administraciones cuentan con órganos específicos dedicados a la atención y tutela de los menores, siendo así que lo que ha de procurar el órgano judicial es que </w:t>
      </w:r>
      <w:r w:rsidRPr="008B4043">
        <w:rPr>
          <w:b/>
          <w:bCs/>
          <w:i/>
          <w:iCs/>
          <w:lang w:val="ca-ES"/>
        </w:rPr>
        <w:t>como consecuencia del desalojo no se genere una situación de desamparo a los menores, para lo cual es preciso la constatación ex ante de una alternativa o solución conforme con los intereses de los menores</w:t>
      </w:r>
      <w:r>
        <w:rPr>
          <w:i/>
          <w:iCs/>
          <w:lang w:val="ca-ES"/>
        </w:rPr>
        <w:t xml:space="preserve"> (</w:t>
      </w:r>
      <w:r w:rsidRPr="008B4043">
        <w:rPr>
          <w:i/>
          <w:iCs/>
          <w:lang w:val="ca-ES"/>
        </w:rPr>
        <w:t xml:space="preserve">Sentencia de la Sección 3ª de la Sala de lo Contencioso del Tribunal Supremo </w:t>
      </w:r>
      <w:r w:rsidR="005306D9" w:rsidRPr="008519A9">
        <w:t>núm.</w:t>
      </w:r>
      <w:r w:rsidRPr="008B4043">
        <w:rPr>
          <w:i/>
          <w:iCs/>
          <w:lang w:val="ca-ES"/>
        </w:rPr>
        <w:t xml:space="preserve"> 191/2021, de 12 de febrero de 2021</w:t>
      </w:r>
      <w:r>
        <w:rPr>
          <w:i/>
          <w:iCs/>
          <w:lang w:val="ca-ES"/>
        </w:rPr>
        <w:t>).</w:t>
      </w:r>
    </w:p>
    <w:p w14:paraId="426C4C8A" w14:textId="028EF545" w:rsidR="008B4043" w:rsidRDefault="008B4043" w:rsidP="00DD5983">
      <w:pPr>
        <w:spacing w:before="240" w:after="200"/>
        <w:jc w:val="both"/>
      </w:pPr>
      <w:r w:rsidRPr="008D666F">
        <w:lastRenderedPageBreak/>
        <w:t xml:space="preserve">Por todo ello, ante la falta de constancia de </w:t>
      </w:r>
      <w:r w:rsidR="00887F79" w:rsidRPr="008D666F">
        <w:t xml:space="preserve">medidas </w:t>
      </w:r>
      <w:r w:rsidR="007A2329">
        <w:t xml:space="preserve">de realojo dignas para la unidad familiar, el lanzamiento debe suspenderse hasta que las administraciones públicas competentes informen sobre las medidas concretas a ofrecer y el Juzgado pueda acreditar que estas cumplen con los estándares mínimos en materia de derechos humanos. </w:t>
      </w:r>
    </w:p>
    <w:p w14:paraId="79964EF0" w14:textId="7F89FAC1" w:rsidR="00551760" w:rsidRPr="008D666F" w:rsidRDefault="00551760" w:rsidP="00DD5983">
      <w:pPr>
        <w:spacing w:before="240" w:after="200"/>
        <w:jc w:val="both"/>
      </w:pPr>
      <w:r>
        <w:t xml:space="preserve">Para ello, </w:t>
      </w:r>
      <w:r w:rsidRPr="00261E2A">
        <w:rPr>
          <w:u w:val="single"/>
        </w:rPr>
        <w:t xml:space="preserve">se solicita que se oficie de nuevo al órgano municipal correspondiente para que informe </w:t>
      </w:r>
      <w:r w:rsidR="00261E2A" w:rsidRPr="00261E2A">
        <w:rPr>
          <w:u w:val="single"/>
        </w:rPr>
        <w:t>de forma detallada sobre las medidas que adoptará</w:t>
      </w:r>
      <w:r w:rsidR="00261E2A">
        <w:t xml:space="preserve">.  </w:t>
      </w:r>
    </w:p>
    <w:p w14:paraId="2F02488F" w14:textId="019EE58D" w:rsidR="00DD5983" w:rsidRDefault="00831915" w:rsidP="00DD5983">
      <w:pPr>
        <w:spacing w:before="240" w:after="200"/>
        <w:jc w:val="both"/>
        <w:rPr>
          <w:b/>
          <w:bCs/>
        </w:rPr>
      </w:pPr>
      <w:r>
        <w:rPr>
          <w:b/>
          <w:bCs/>
        </w:rPr>
        <w:t>SEXTA</w:t>
      </w:r>
      <w:r w:rsidR="00DD5983" w:rsidRPr="007A2329">
        <w:rPr>
          <w:b/>
          <w:bCs/>
        </w:rPr>
        <w:t xml:space="preserve">. </w:t>
      </w:r>
      <w:r w:rsidR="00C82AA0" w:rsidRPr="007A2329">
        <w:rPr>
          <w:b/>
          <w:bCs/>
        </w:rPr>
        <w:t xml:space="preserve">DE LA NECESIDAD DE OFICIAR A LA </w:t>
      </w:r>
      <w:r w:rsidR="00DD5983" w:rsidRPr="007A2329">
        <w:rPr>
          <w:b/>
          <w:bCs/>
        </w:rPr>
        <w:t>GENERALITAT DE CATALUNYA EN EL PRESENT</w:t>
      </w:r>
      <w:r w:rsidR="007A2329" w:rsidRPr="007A2329">
        <w:rPr>
          <w:b/>
          <w:bCs/>
        </w:rPr>
        <w:t>E</w:t>
      </w:r>
      <w:r w:rsidR="00DD5983" w:rsidRPr="007A2329">
        <w:rPr>
          <w:b/>
          <w:bCs/>
        </w:rPr>
        <w:t xml:space="preserve"> PROCEDIM</w:t>
      </w:r>
      <w:r w:rsidR="007A2329" w:rsidRPr="007A2329">
        <w:rPr>
          <w:b/>
          <w:bCs/>
        </w:rPr>
        <w:t>IENTO</w:t>
      </w:r>
    </w:p>
    <w:p w14:paraId="23C17ACA" w14:textId="77777777" w:rsidR="00692EC1" w:rsidRDefault="00692EC1" w:rsidP="00DD5983">
      <w:pPr>
        <w:spacing w:before="240" w:after="200"/>
        <w:jc w:val="both"/>
      </w:pPr>
      <w:r>
        <w:t>l</w:t>
      </w:r>
      <w:r w:rsidRPr="00692EC1">
        <w:t xml:space="preserve">a administración de la Generalitat de Cataluña tiene las competencias compartidas con la administración local en materia de vivienda, de forma que en el marco del presente procedimiento es indispensable que se la requiera para comparecer. </w:t>
      </w:r>
    </w:p>
    <w:p w14:paraId="4D2F8D97" w14:textId="77777777" w:rsidR="00692EC1" w:rsidRDefault="00692EC1" w:rsidP="00DD5983">
      <w:pPr>
        <w:spacing w:before="240" w:after="200"/>
        <w:jc w:val="both"/>
      </w:pPr>
      <w:r w:rsidRPr="00692EC1">
        <w:br/>
        <w:t>De manera específica, el artículo 7.2 de la Ley 18/2007, de vivienda, establece que:</w:t>
      </w:r>
    </w:p>
    <w:p w14:paraId="257FC5E3" w14:textId="77777777" w:rsidR="00C56ED9" w:rsidRPr="00DC0D08" w:rsidRDefault="00692EC1" w:rsidP="00DC0D08">
      <w:pPr>
        <w:spacing w:before="240" w:after="200"/>
        <w:ind w:left="720"/>
        <w:jc w:val="both"/>
        <w:rPr>
          <w:i/>
          <w:iCs/>
          <w:sz w:val="20"/>
          <w:szCs w:val="20"/>
        </w:rPr>
      </w:pPr>
      <w:r w:rsidRPr="00692EC1">
        <w:br/>
      </w:r>
      <w:r w:rsidRPr="00DC0D08">
        <w:rPr>
          <w:i/>
          <w:iCs/>
          <w:sz w:val="20"/>
          <w:szCs w:val="20"/>
        </w:rPr>
        <w:t>La Administración de la Generalitat, mediante el departamento competente en materia de vivienda, ejerce las competencias propias en este ámbito, fomenta la acción de los entes locales, coopera en el ejercicio de sus competencias y, en supuestos de inactividad o de incumplimiento, subroga el ejercicio de las facultades correspondientes de acuerdo con el que establece la legislación de régimen local. Todo esto lo hace sin perjuicio de las competencias que esta ley reconoce a otros departamentos de la Generalitat.</w:t>
      </w:r>
    </w:p>
    <w:p w14:paraId="67BCEA3F" w14:textId="77777777" w:rsidR="00C56ED9" w:rsidRDefault="00692EC1" w:rsidP="00C56ED9">
      <w:pPr>
        <w:spacing w:before="240" w:after="200"/>
        <w:jc w:val="both"/>
      </w:pPr>
      <w:r w:rsidRPr="00692EC1">
        <w:br/>
        <w:t xml:space="preserve">Así mismo, el artículo 8.3 de esta Ley también establece que: </w:t>
      </w:r>
    </w:p>
    <w:p w14:paraId="48C28EA6" w14:textId="77777777" w:rsidR="00C56ED9" w:rsidRPr="00DC0D08" w:rsidRDefault="00692EC1" w:rsidP="00C56ED9">
      <w:pPr>
        <w:spacing w:before="240" w:after="200"/>
        <w:ind w:left="720"/>
        <w:jc w:val="both"/>
        <w:rPr>
          <w:i/>
          <w:iCs/>
          <w:sz w:val="20"/>
          <w:szCs w:val="20"/>
        </w:rPr>
      </w:pPr>
      <w:r w:rsidRPr="00692EC1">
        <w:br/>
      </w:r>
      <w:r w:rsidRPr="00DC0D08">
        <w:rPr>
          <w:i/>
          <w:iCs/>
          <w:sz w:val="20"/>
          <w:szCs w:val="20"/>
        </w:rPr>
        <w:t>Los entes locales que, por su dimensión o por carencia de recursos, no puedan ejercer plenamente las competencias en materia de vivienda pueden solicitar a las administraciones de ámbito territorial superior la prestación de asistencia técnica, financiera y jurídica.</w:t>
      </w:r>
    </w:p>
    <w:p w14:paraId="33ABF725" w14:textId="36976B8D" w:rsidR="00C56ED9" w:rsidRDefault="00692EC1" w:rsidP="00C56ED9">
      <w:pPr>
        <w:spacing w:before="240" w:after="200"/>
        <w:jc w:val="both"/>
      </w:pPr>
      <w:r w:rsidRPr="00692EC1">
        <w:t>De acuerdo con el que establecen los artículos 7.2 y 8.3 de la Ley 18/2007, de vivienda, se desprende claramente que la Generalitat de Cataluña es una de las administraciones competentes en materia de vivienda, con la responsabilidad de garantizar el cumplimiento efectivo del derecho a la vivienda</w:t>
      </w:r>
      <w:r w:rsidR="00C56ED9">
        <w:t xml:space="preserve">. </w:t>
      </w:r>
    </w:p>
    <w:p w14:paraId="7C46AF19" w14:textId="77777777" w:rsidR="00C56ED9" w:rsidRDefault="00692EC1" w:rsidP="00C56ED9">
      <w:pPr>
        <w:spacing w:before="240" w:after="200"/>
        <w:jc w:val="both"/>
      </w:pPr>
      <w:r w:rsidRPr="00692EC1">
        <w:t xml:space="preserve">Esta competencia incluye no solo el ejercicio directo de las funciones propias en este ámbito, sino también el deber de fomentar, coordinar y, si procede, subrogarse en las competencias de los entes locales en casos de inactividad o carencia de recursos. </w:t>
      </w:r>
    </w:p>
    <w:p w14:paraId="421A53FF" w14:textId="77777777" w:rsidR="00C56ED9" w:rsidRDefault="00692EC1" w:rsidP="00C56ED9">
      <w:pPr>
        <w:spacing w:before="240" w:after="200"/>
        <w:jc w:val="both"/>
      </w:pPr>
      <w:r w:rsidRPr="00692EC1">
        <w:t xml:space="preserve">En consecuencia, </w:t>
      </w:r>
      <w:r w:rsidRPr="00BC20AE">
        <w:rPr>
          <w:b/>
          <w:bCs/>
        </w:rPr>
        <w:t>la Generalitat tiene la obligación de asegurar que se den las garantías necesarias para el realojo de las personas afectadas por situaciones de desahucio o pérdida de la vivienda</w:t>
      </w:r>
      <w:r w:rsidRPr="00692EC1">
        <w:t>, velando así por el cumplimiento de los principios de protección social y de seguridad residencial que inspira la misma Ley 18/2007.</w:t>
      </w:r>
    </w:p>
    <w:p w14:paraId="06098F72" w14:textId="071541E5" w:rsidR="00692EC1" w:rsidRPr="007A2329" w:rsidRDefault="00692EC1" w:rsidP="00C56ED9">
      <w:pPr>
        <w:spacing w:before="240" w:after="200"/>
        <w:jc w:val="both"/>
      </w:pPr>
      <w:r w:rsidRPr="00692EC1">
        <w:lastRenderedPageBreak/>
        <w:t>Así mismo, también se destaca que el artículo 441.5 de la LEC establece que en caso de que se produzca un desalojo de una finca que constituye el domicilio de la persona afectada, esta situación se tiene que comunicar de manera inmediata y de oficio por parte del Juzgado. Y, de manera concreta, se tiene que comunicar judicialmente la existencia del procedimiento a las administraciones autonómicas y locales. Por lo tanto, nuevamente se señala la necesidad de oficiar en la Generalitat de Cataluña porque sea parte en el presente procedimiento.</w:t>
      </w:r>
    </w:p>
    <w:p w14:paraId="6C4A44D3" w14:textId="715C6000" w:rsidR="007A2329" w:rsidRDefault="00831915" w:rsidP="00BE7268">
      <w:pPr>
        <w:spacing w:before="240" w:after="200"/>
        <w:jc w:val="both"/>
        <w:rPr>
          <w:b/>
          <w:bCs/>
        </w:rPr>
      </w:pPr>
      <w:r>
        <w:rPr>
          <w:b/>
          <w:bCs/>
        </w:rPr>
        <w:t>SÉPTIMA</w:t>
      </w:r>
      <w:r w:rsidR="007A2329" w:rsidRPr="007A2329">
        <w:rPr>
          <w:b/>
          <w:bCs/>
        </w:rPr>
        <w:t xml:space="preserve">. SOBRE </w:t>
      </w:r>
      <w:r w:rsidR="00BC20AE">
        <w:rPr>
          <w:b/>
          <w:bCs/>
        </w:rPr>
        <w:t xml:space="preserve">EL CRITERIO DE PROPORCIONALIDAD Y </w:t>
      </w:r>
      <w:r w:rsidR="007A2329" w:rsidRPr="007A2329">
        <w:rPr>
          <w:b/>
          <w:bCs/>
        </w:rPr>
        <w:t>LA POSIBILIDAD DE QUE LA PARTE DEMANDANTE RECLAME A LA ADMINISTRACIÓN POR LA SUSPENSIÓN DEL LANZAMIENTO</w:t>
      </w:r>
    </w:p>
    <w:p w14:paraId="5C727722" w14:textId="4E04A94D" w:rsidR="00BC20AE" w:rsidRDefault="00BC20AE" w:rsidP="00BE7268">
      <w:pPr>
        <w:spacing w:before="240" w:after="200"/>
        <w:jc w:val="both"/>
      </w:pPr>
      <w:r w:rsidRPr="00BC20AE">
        <w:t xml:space="preserve">Que la suspensión del lanzamiento por parte de los Tribunales ante la falta de adopción de medidas </w:t>
      </w:r>
      <w:r w:rsidR="009007D1">
        <w:t>de las Administraciones Públicas competentes se debe basar en un criterio de proporcionalidad vinculado, entre otros criterios, a la situación de vulnerabilidad de las personas afectadas</w:t>
      </w:r>
      <w:r w:rsidR="003E4D79">
        <w:t xml:space="preserve"> y el tipo de tenedor que se trate. </w:t>
      </w:r>
    </w:p>
    <w:p w14:paraId="5EAB5CC1" w14:textId="62D20F6B" w:rsidR="003E4D79" w:rsidRPr="00BC20AE" w:rsidRDefault="003E4D79" w:rsidP="00BE7268">
      <w:pPr>
        <w:spacing w:before="240" w:after="200"/>
        <w:jc w:val="both"/>
      </w:pPr>
      <w:r>
        <w:t xml:space="preserve">En este sentido, la suspensión puede generar daños en la parte demandante. Ahora bien, estos daños podrán ser reclamados </w:t>
      </w:r>
      <w:r w:rsidR="008B0561">
        <w:t xml:space="preserve">en el correspondiente proceso de reclamación patrimonial a la administración pública correspondiente. </w:t>
      </w:r>
    </w:p>
    <w:p w14:paraId="5C1F1133" w14:textId="41B7BAE8" w:rsidR="003D28B8" w:rsidRDefault="00831915" w:rsidP="003D28B8">
      <w:pPr>
        <w:spacing w:before="240" w:after="200"/>
        <w:jc w:val="both"/>
        <w:rPr>
          <w:b/>
          <w:bCs/>
          <w:lang w:val="ca-ES"/>
        </w:rPr>
      </w:pPr>
      <w:r>
        <w:rPr>
          <w:b/>
          <w:bCs/>
        </w:rPr>
        <w:t>OCTAVA</w:t>
      </w:r>
      <w:r w:rsidR="00CB2A87">
        <w:rPr>
          <w:b/>
          <w:bCs/>
        </w:rPr>
        <w:t xml:space="preserve">. </w:t>
      </w:r>
      <w:r w:rsidR="003D28B8" w:rsidRPr="003D28B8">
        <w:rPr>
          <w:b/>
          <w:bCs/>
          <w:lang w:val="ca-ES"/>
        </w:rPr>
        <w:t>REVISIÓN DE LOS GARANTÍAS PROCESALES EN MATERIA DE DESAHUCIOS De UNIDADES DE CONVIVENCIA VULNERABLES</w:t>
      </w:r>
    </w:p>
    <w:p w14:paraId="634A440B" w14:textId="6612649A" w:rsidR="003D28B8" w:rsidRPr="0095287D" w:rsidRDefault="0095287D" w:rsidP="00BE7268">
      <w:pPr>
        <w:spacing w:before="240" w:after="200"/>
        <w:jc w:val="both"/>
      </w:pPr>
      <w:r w:rsidRPr="0095287D">
        <w:t>Que se solicita la revisión de las garantías procesales en materia de desahucios de familias vulnerables, en concreto, la suspensión del procedimiento por situación de vulnerabilidad prevista en el artículo 441.6 de la LEC, así como el trámite de conciliación o intermediación previa en caso de procedimientos que hubieran estado suspensos por la moratoria de desahucios del RDL 11/2020, tal y como se prevé a la Disposición transitoria tercera.</w:t>
      </w:r>
    </w:p>
    <w:p w14:paraId="22A74D12" w14:textId="205D19E5" w:rsidR="00CB2A87" w:rsidRDefault="00831915" w:rsidP="00BE7268">
      <w:pPr>
        <w:spacing w:before="240" w:after="200"/>
        <w:jc w:val="both"/>
        <w:rPr>
          <w:b/>
          <w:bCs/>
        </w:rPr>
      </w:pPr>
      <w:r>
        <w:rPr>
          <w:b/>
          <w:bCs/>
        </w:rPr>
        <w:t>NOVENA</w:t>
      </w:r>
      <w:r w:rsidR="003D28B8">
        <w:rPr>
          <w:b/>
          <w:bCs/>
        </w:rPr>
        <w:t xml:space="preserve">. </w:t>
      </w:r>
      <w:r w:rsidR="00CB2A87">
        <w:rPr>
          <w:b/>
          <w:bCs/>
        </w:rPr>
        <w:t>SOBRE LA VULNERACIÓN DE DERECHOS EN CASO DE QUE NO SE SUSPENDA EL LANZAMIENTO</w:t>
      </w:r>
    </w:p>
    <w:p w14:paraId="0B8994CE" w14:textId="73F73D88" w:rsidR="00BE7268" w:rsidRPr="001A1ADE" w:rsidRDefault="006547C9">
      <w:pPr>
        <w:spacing w:before="240" w:after="200"/>
        <w:jc w:val="both"/>
        <w:rPr>
          <w:b/>
          <w:bCs/>
        </w:rPr>
      </w:pPr>
      <w:r w:rsidRPr="008B0561">
        <w:t>Que,</w:t>
      </w:r>
      <w:r w:rsidR="008B0561" w:rsidRPr="008B0561">
        <w:t xml:space="preserve"> en caso </w:t>
      </w:r>
      <w:r w:rsidR="00A11B1B">
        <w:t>de no suspenderse el lanzamiento, se vulnerará</w:t>
      </w:r>
      <w:r>
        <w:t xml:space="preserve">, entre otros, </w:t>
      </w:r>
      <w:r w:rsidR="00A11B1B">
        <w:t xml:space="preserve">el derecho a la igualdad de trato y no discriminación (art. 14 CE), </w:t>
      </w:r>
      <w:r>
        <w:t xml:space="preserve">el derecho a no sufrir trato inhumano o degradante (art. 15 CE), </w:t>
      </w:r>
      <w:r w:rsidR="00A11B1B">
        <w:t>el derecho a la intimidad personal y familiar y la inviolabilidad del domicilio (art. 18 CE)</w:t>
      </w:r>
      <w:r w:rsidR="002146AE">
        <w:t xml:space="preserve">, y el derecho a la tutela judicial efectiva (art. 24 CE). </w:t>
      </w:r>
    </w:p>
    <w:p w14:paraId="0E1AC365" w14:textId="77777777" w:rsidR="00D47BDE" w:rsidRPr="008519A9" w:rsidRDefault="00D47BDE">
      <w:pPr>
        <w:spacing w:before="240" w:after="200"/>
        <w:jc w:val="both"/>
        <w:rPr>
          <w:highlight w:val="white"/>
        </w:rPr>
      </w:pPr>
    </w:p>
    <w:p w14:paraId="5E4F3ED4" w14:textId="77777777" w:rsidR="00D3034D" w:rsidRPr="008519A9" w:rsidRDefault="00D739F2">
      <w:pPr>
        <w:spacing w:before="240" w:after="240"/>
        <w:jc w:val="both"/>
        <w:rPr>
          <w:highlight w:val="white"/>
        </w:rPr>
      </w:pPr>
      <w:r w:rsidRPr="008519A9">
        <w:rPr>
          <w:highlight w:val="white"/>
        </w:rPr>
        <w:t>Por lo que se acaba de exponer,</w:t>
      </w:r>
    </w:p>
    <w:p w14:paraId="212A2C46" w14:textId="76417456" w:rsidR="00D3034D" w:rsidRPr="008519A9" w:rsidRDefault="00D739F2">
      <w:pPr>
        <w:spacing w:before="240" w:after="200"/>
        <w:jc w:val="both"/>
        <w:rPr>
          <w:highlight w:val="white"/>
        </w:rPr>
      </w:pPr>
      <w:r w:rsidRPr="008519A9">
        <w:rPr>
          <w:b/>
          <w:bCs/>
          <w:highlight w:val="white"/>
        </w:rPr>
        <w:t xml:space="preserve">AL JUZGADO SOLICITO </w:t>
      </w:r>
      <w:r w:rsidRPr="008519A9">
        <w:rPr>
          <w:highlight w:val="white"/>
        </w:rPr>
        <w:t xml:space="preserve">tenga por presentado este escrito y </w:t>
      </w:r>
      <w:r w:rsidR="005B71BD">
        <w:rPr>
          <w:highlight w:val="white"/>
        </w:rPr>
        <w:t>los</w:t>
      </w:r>
      <w:r w:rsidR="005211A5" w:rsidRPr="008519A9">
        <w:rPr>
          <w:highlight w:val="white"/>
        </w:rPr>
        <w:t xml:space="preserve"> documento</w:t>
      </w:r>
      <w:r w:rsidR="005B71BD">
        <w:rPr>
          <w:highlight w:val="white"/>
        </w:rPr>
        <w:t>s</w:t>
      </w:r>
      <w:r w:rsidR="005211A5" w:rsidRPr="008519A9">
        <w:rPr>
          <w:highlight w:val="white"/>
        </w:rPr>
        <w:t xml:space="preserve"> que lo </w:t>
      </w:r>
      <w:r w:rsidR="006547C9" w:rsidRPr="008519A9">
        <w:rPr>
          <w:highlight w:val="white"/>
        </w:rPr>
        <w:t>acompaña</w:t>
      </w:r>
      <w:r w:rsidR="005B71BD">
        <w:rPr>
          <w:highlight w:val="white"/>
        </w:rPr>
        <w:t>n</w:t>
      </w:r>
      <w:r w:rsidRPr="008519A9">
        <w:rPr>
          <w:highlight w:val="white"/>
        </w:rPr>
        <w:t>, lo admita y:</w:t>
      </w:r>
    </w:p>
    <w:p w14:paraId="68C11EFF" w14:textId="155B8FCA" w:rsidR="00D3034D" w:rsidRPr="008519A9" w:rsidRDefault="00D739F2" w:rsidP="005B71BD">
      <w:pPr>
        <w:spacing w:before="240" w:after="200"/>
        <w:jc w:val="both"/>
        <w:rPr>
          <w:highlight w:val="white"/>
        </w:rPr>
      </w:pPr>
      <w:r w:rsidRPr="008519A9">
        <w:rPr>
          <w:highlight w:val="white"/>
        </w:rPr>
        <w:lastRenderedPageBreak/>
        <w:t xml:space="preserve">1.- </w:t>
      </w:r>
      <w:r w:rsidRPr="008519A9">
        <w:rPr>
          <w:highlight w:val="white"/>
          <w:u w:val="single"/>
        </w:rPr>
        <w:t>Acuerde la suspensión inmediata del procedimiento</w:t>
      </w:r>
      <w:r w:rsidRPr="008519A9">
        <w:rPr>
          <w:highlight w:val="white"/>
        </w:rPr>
        <w:t xml:space="preserve"> en curso hasta que </w:t>
      </w:r>
      <w:r w:rsidR="005211A5" w:rsidRPr="008519A9">
        <w:rPr>
          <w:highlight w:val="white"/>
        </w:rPr>
        <w:t xml:space="preserve">desde </w:t>
      </w:r>
      <w:r w:rsidR="005B71BD">
        <w:rPr>
          <w:highlight w:val="white"/>
        </w:rPr>
        <w:t xml:space="preserve">las </w:t>
      </w:r>
      <w:r w:rsidR="00E85828">
        <w:rPr>
          <w:highlight w:val="white"/>
        </w:rPr>
        <w:t>Administraciones</w:t>
      </w:r>
      <w:r w:rsidR="005B71BD">
        <w:rPr>
          <w:highlight w:val="white"/>
        </w:rPr>
        <w:t xml:space="preserve"> Públicas competentes se concreten las medidas </w:t>
      </w:r>
      <w:r w:rsidR="00E85828">
        <w:rPr>
          <w:highlight w:val="white"/>
        </w:rPr>
        <w:t>para el realojamiento adecuado de la parte demandada</w:t>
      </w:r>
      <w:r w:rsidR="005211A5" w:rsidRPr="008519A9">
        <w:rPr>
          <w:highlight w:val="white"/>
        </w:rPr>
        <w:t xml:space="preserve">. </w:t>
      </w:r>
    </w:p>
    <w:p w14:paraId="53CF0FF3" w14:textId="74CBA21B" w:rsidR="00D3034D" w:rsidRDefault="00EE1CD1">
      <w:pPr>
        <w:spacing w:before="240" w:after="200"/>
        <w:jc w:val="both"/>
        <w:rPr>
          <w:highlight w:val="white"/>
        </w:rPr>
      </w:pPr>
      <w:r>
        <w:rPr>
          <w:highlight w:val="white"/>
        </w:rPr>
        <w:t>2</w:t>
      </w:r>
      <w:r w:rsidR="005211A5" w:rsidRPr="008519A9">
        <w:rPr>
          <w:highlight w:val="white"/>
        </w:rPr>
        <w:t xml:space="preserve">.- De forma subsidiaria, se suspenda el procedimiento en virtud del artículo 704.1 de la LEC. </w:t>
      </w:r>
    </w:p>
    <w:p w14:paraId="2CC75015" w14:textId="4AE62208" w:rsidR="001A3789" w:rsidRPr="001A3789" w:rsidRDefault="001A3789">
      <w:pPr>
        <w:spacing w:before="240" w:after="200"/>
        <w:jc w:val="both"/>
        <w:rPr>
          <w:highlight w:val="white"/>
        </w:rPr>
      </w:pPr>
      <w:r>
        <w:rPr>
          <w:highlight w:val="white"/>
        </w:rPr>
        <w:t>3.-</w:t>
      </w:r>
      <w:r w:rsidRPr="001A3789">
        <w:t xml:space="preserve"> </w:t>
      </w:r>
      <w:r w:rsidRPr="001A3789">
        <w:rPr>
          <w:highlight w:val="white"/>
        </w:rPr>
        <w:t>Realice la revisión de las garantías procesales en desahucios que afecten a unidades de convivencia vulnerables</w:t>
      </w:r>
      <w:r>
        <w:rPr>
          <w:highlight w:val="white"/>
        </w:rPr>
        <w:t xml:space="preserve"> y, en caso de no haberse realizado, declare la nulidad del procedimiento y retrotraiga las actuaciones hasta el momento en que debieron producirse. </w:t>
      </w:r>
    </w:p>
    <w:p w14:paraId="49A3CC05" w14:textId="77777777" w:rsidR="00D3034D" w:rsidRPr="008519A9" w:rsidRDefault="00D739F2">
      <w:pPr>
        <w:spacing w:before="240" w:after="200"/>
        <w:jc w:val="both"/>
        <w:rPr>
          <w:highlight w:val="white"/>
        </w:rPr>
      </w:pPr>
      <w:r w:rsidRPr="008519A9">
        <w:rPr>
          <w:b/>
          <w:bCs/>
          <w:highlight w:val="white"/>
        </w:rPr>
        <w:t xml:space="preserve">ASIMISMO DIGO: </w:t>
      </w:r>
      <w:r w:rsidRPr="008519A9">
        <w:rPr>
          <w:highlight w:val="white"/>
        </w:rPr>
        <w:t>Que en el supuesto de se considere que este escrito debe presentarse mediante abogado y procurador, me sea notificada resolución, y se suspenda el procedimiento a efectos de solicitud de Justicia Gratuita o presentación por letrado de oficio que me represente.</w:t>
      </w:r>
    </w:p>
    <w:p w14:paraId="2BD6C77D" w14:textId="77777777" w:rsidR="00D3034D" w:rsidRPr="008519A9" w:rsidRDefault="00D739F2">
      <w:pPr>
        <w:spacing w:before="240" w:after="240"/>
        <w:rPr>
          <w:highlight w:val="white"/>
        </w:rPr>
      </w:pPr>
      <w:r w:rsidRPr="008519A9">
        <w:rPr>
          <w:highlight w:val="white"/>
        </w:rPr>
        <w:t xml:space="preserve"> </w:t>
      </w:r>
    </w:p>
    <w:p w14:paraId="1B54A7C3" w14:textId="4E352CA6" w:rsidR="00D3034D" w:rsidRPr="008519A9" w:rsidRDefault="005211A5">
      <w:pPr>
        <w:spacing w:before="240" w:after="240"/>
        <w:rPr>
          <w:highlight w:val="white"/>
        </w:rPr>
      </w:pPr>
      <w:r w:rsidRPr="008519A9">
        <w:rPr>
          <w:highlight w:val="white"/>
        </w:rPr>
        <w:t xml:space="preserve">En </w:t>
      </w:r>
      <w:r w:rsidR="00E85828" w:rsidRPr="00E85828">
        <w:rPr>
          <w:color w:val="388600"/>
          <w:highlight w:val="white"/>
        </w:rPr>
        <w:t xml:space="preserve">____________, </w:t>
      </w:r>
      <w:r w:rsidR="00E85828">
        <w:rPr>
          <w:highlight w:val="white"/>
        </w:rPr>
        <w:t xml:space="preserve">en </w:t>
      </w:r>
      <w:r w:rsidR="00E85828" w:rsidRPr="00E85828">
        <w:rPr>
          <w:color w:val="388600"/>
          <w:highlight w:val="white"/>
        </w:rPr>
        <w:t>_______</w:t>
      </w:r>
      <w:r w:rsidRPr="00E85828">
        <w:rPr>
          <w:color w:val="388600"/>
          <w:highlight w:val="white"/>
        </w:rPr>
        <w:t xml:space="preserve">. </w:t>
      </w:r>
    </w:p>
    <w:p w14:paraId="0A10E43E" w14:textId="77777777" w:rsidR="005211A5" w:rsidRPr="008519A9" w:rsidRDefault="005211A5">
      <w:pPr>
        <w:spacing w:before="240" w:after="240"/>
        <w:rPr>
          <w:highlight w:val="white"/>
        </w:rPr>
      </w:pPr>
    </w:p>
    <w:p w14:paraId="314F5BEF" w14:textId="77777777" w:rsidR="005211A5" w:rsidRPr="008519A9" w:rsidRDefault="005211A5">
      <w:pPr>
        <w:spacing w:before="240" w:after="240"/>
        <w:rPr>
          <w:highlight w:val="white"/>
        </w:rPr>
      </w:pPr>
    </w:p>
    <w:p w14:paraId="7DB4BA38" w14:textId="77777777" w:rsidR="005211A5" w:rsidRPr="008519A9" w:rsidRDefault="005211A5">
      <w:pPr>
        <w:spacing w:before="240" w:after="240"/>
        <w:rPr>
          <w:highlight w:val="white"/>
        </w:rPr>
      </w:pPr>
    </w:p>
    <w:p w14:paraId="01EC2D95" w14:textId="77777777" w:rsidR="005211A5" w:rsidRPr="008519A9" w:rsidRDefault="005211A5">
      <w:pPr>
        <w:spacing w:before="240" w:after="240"/>
        <w:rPr>
          <w:highlight w:val="white"/>
        </w:rPr>
      </w:pPr>
    </w:p>
    <w:p w14:paraId="62F8B531" w14:textId="1A340A4B" w:rsidR="005211A5" w:rsidRPr="008519A9" w:rsidRDefault="005211A5">
      <w:pPr>
        <w:spacing w:before="240" w:after="240"/>
        <w:rPr>
          <w:highlight w:val="white"/>
        </w:rPr>
      </w:pPr>
      <w:r w:rsidRPr="008519A9">
        <w:rPr>
          <w:b/>
          <w:bCs/>
          <w:highlight w:val="white"/>
        </w:rPr>
        <w:t xml:space="preserve">Fdo. </w:t>
      </w:r>
      <w:r w:rsidR="00E85828" w:rsidRPr="00E85828">
        <w:rPr>
          <w:b/>
          <w:bCs/>
          <w:color w:val="388600"/>
          <w:highlight w:val="white"/>
        </w:rPr>
        <w:t>___________</w:t>
      </w:r>
    </w:p>
    <w:p w14:paraId="19B49824" w14:textId="77777777" w:rsidR="00D3034D" w:rsidRPr="008519A9" w:rsidRDefault="00D3034D">
      <w:pPr>
        <w:rPr>
          <w:highlight w:val="white"/>
        </w:rPr>
      </w:pPr>
    </w:p>
    <w:p w14:paraId="403D6EAD" w14:textId="77777777" w:rsidR="00D3034D" w:rsidRPr="005211A5" w:rsidRDefault="00D3034D">
      <w:pPr>
        <w:rPr>
          <w:b/>
          <w:bCs/>
          <w:highlight w:val="white"/>
        </w:rPr>
      </w:pPr>
    </w:p>
    <w:sectPr w:rsidR="00D3034D" w:rsidRPr="005211A5">
      <w:headerReference w:type="default" r:id="rId11"/>
      <w:pgSz w:w="11909" w:h="16834"/>
      <w:pgMar w:top="1440" w:right="1440" w:bottom="1440" w:left="1440" w:header="720" w:footer="720" w:gutter="0"/>
      <w:pgNumType w:start="1"/>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5A23719" w14:textId="77777777" w:rsidR="00FF464C" w:rsidRPr="008519A9" w:rsidRDefault="00FF464C">
      <w:pPr>
        <w:spacing w:line="240" w:lineRule="auto"/>
      </w:pPr>
      <w:r w:rsidRPr="008519A9">
        <w:separator/>
      </w:r>
    </w:p>
  </w:endnote>
  <w:endnote w:type="continuationSeparator" w:id="0">
    <w:p w14:paraId="3ADA2348" w14:textId="77777777" w:rsidR="00FF464C" w:rsidRPr="008519A9" w:rsidRDefault="00FF464C">
      <w:pPr>
        <w:spacing w:line="240" w:lineRule="auto"/>
      </w:pPr>
      <w:r w:rsidRPr="008519A9">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embedRegular r:id="rId1" w:fontKey="{BC1EDF71-E94C-4E8F-B62E-E69EFED9B57D}"/>
  </w:font>
  <w:font w:name="Cambria">
    <w:panose1 w:val="02040503050406030204"/>
    <w:charset w:val="00"/>
    <w:family w:val="roman"/>
    <w:pitch w:val="variable"/>
    <w:sig w:usb0="E00006FF" w:usb1="420024FF" w:usb2="02000000" w:usb3="00000000" w:csb0="0000019F" w:csb1="00000000"/>
    <w:embedRegular r:id="rId2" w:fontKey="{90448A56-EBFA-471A-882A-8CA338360809}"/>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26393F3" w14:textId="77777777" w:rsidR="00FF464C" w:rsidRPr="008519A9" w:rsidRDefault="00FF464C">
      <w:pPr>
        <w:spacing w:line="240" w:lineRule="auto"/>
      </w:pPr>
      <w:r w:rsidRPr="008519A9">
        <w:separator/>
      </w:r>
    </w:p>
  </w:footnote>
  <w:footnote w:type="continuationSeparator" w:id="0">
    <w:p w14:paraId="7C17F754" w14:textId="77777777" w:rsidR="00FF464C" w:rsidRPr="008519A9" w:rsidRDefault="00FF464C">
      <w:pPr>
        <w:spacing w:line="240" w:lineRule="auto"/>
      </w:pPr>
      <w:r w:rsidRPr="008519A9">
        <w:continuationSeparator/>
      </w:r>
    </w:p>
  </w:footnote>
  <w:footnote w:id="1">
    <w:p w14:paraId="25290442" w14:textId="43D5A5D9" w:rsidR="00AE0721" w:rsidRPr="008519A9" w:rsidRDefault="00AE0721" w:rsidP="00D16B01">
      <w:pPr>
        <w:pStyle w:val="Textdenotaapeudepgina"/>
        <w:jc w:val="both"/>
      </w:pPr>
      <w:r w:rsidRPr="008519A9">
        <w:rPr>
          <w:rStyle w:val="Refernciadenotaapeudepgina"/>
        </w:rPr>
        <w:footnoteRef/>
      </w:r>
      <w:r w:rsidRPr="008519A9">
        <w:t xml:space="preserve"> </w:t>
      </w:r>
      <w:r w:rsidR="00475A18" w:rsidRPr="008519A9">
        <w:t xml:space="preserve">Observatori DESCA (2024), ‘Impacto de la moratoria de desahucios 2021-2023’ </w:t>
      </w:r>
      <w:hyperlink r:id="rId1" w:history="1">
        <w:r w:rsidR="00475A18" w:rsidRPr="008519A9">
          <w:rPr>
            <w:rStyle w:val="Enlla"/>
          </w:rPr>
          <w:t>https://observatoridesc.org/sites/default/files/publication/files/a9_informe_1.pdf</w:t>
        </w:r>
      </w:hyperlink>
      <w:r w:rsidR="00475A18" w:rsidRPr="008519A9">
        <w:t xml:space="preserve"> </w:t>
      </w:r>
    </w:p>
  </w:footnote>
  <w:footnote w:id="2">
    <w:p w14:paraId="60163FBB" w14:textId="77777777" w:rsidR="0095584D" w:rsidRPr="008519A9" w:rsidRDefault="0095584D" w:rsidP="0095584D">
      <w:pPr>
        <w:pStyle w:val="Textdenotaapeudepgina"/>
        <w:jc w:val="both"/>
      </w:pPr>
      <w:r w:rsidRPr="008519A9">
        <w:rPr>
          <w:rStyle w:val="Refernciadenotaapeudepgina"/>
        </w:rPr>
        <w:footnoteRef/>
      </w:r>
      <w:r w:rsidRPr="008519A9">
        <w:t xml:space="preserve"> Taula d’elaboració pròpia amb dades del </w:t>
      </w:r>
      <w:hyperlink r:id="rId2" w:history="1">
        <w:r w:rsidRPr="008519A9">
          <w:rPr>
            <w:rStyle w:val="Enlla"/>
          </w:rPr>
          <w:t>Consell General del Poder Judicial</w:t>
        </w:r>
      </w:hyperlink>
      <w:r w:rsidRPr="008519A9">
        <w:t xml:space="preserve"> i el </w:t>
      </w:r>
      <w:hyperlink r:id="rId3" w:history="1">
        <w:r w:rsidRPr="008519A9">
          <w:rPr>
            <w:rStyle w:val="Enlla"/>
          </w:rPr>
          <w:t>Consorci d’Habitatge de Barcelona</w:t>
        </w:r>
      </w:hyperlink>
      <w:r w:rsidRPr="008519A9">
        <w:t xml:space="preserve">. </w:t>
      </w:r>
    </w:p>
  </w:footnote>
  <w:footnote w:id="3">
    <w:p w14:paraId="00B624DD" w14:textId="567EF430" w:rsidR="00E803E3" w:rsidRPr="008519A9" w:rsidRDefault="00E803E3">
      <w:pPr>
        <w:pStyle w:val="Textdenotaapeudepgina"/>
      </w:pPr>
      <w:r w:rsidRPr="008519A9">
        <w:rPr>
          <w:rStyle w:val="Refernciadenotaapeudepgina"/>
        </w:rPr>
        <w:footnoteRef/>
      </w:r>
      <w:r w:rsidRPr="008519A9">
        <w:t xml:space="preserve"> El nombre d’expedients varia d’un mes a un altre, pel que s’ha agafat </w:t>
      </w:r>
      <w:r w:rsidR="004E5174" w:rsidRPr="008519A9">
        <w:t>la mitjana</w:t>
      </w:r>
      <w:r w:rsidRPr="008519A9">
        <w:t xml:space="preserve">. </w:t>
      </w:r>
    </w:p>
  </w:footnote>
  <w:footnote w:id="4">
    <w:p w14:paraId="73F5193A" w14:textId="7A0D7A05" w:rsidR="005E272D" w:rsidRPr="008519A9" w:rsidRDefault="005E272D">
      <w:pPr>
        <w:pStyle w:val="Textdenotaapeudepgina"/>
      </w:pPr>
      <w:r w:rsidRPr="008519A9">
        <w:rPr>
          <w:rStyle w:val="Refernciadenotaapeudepgina"/>
        </w:rPr>
        <w:footnoteRef/>
      </w:r>
      <w:r w:rsidRPr="008519A9">
        <w:t xml:space="preserve"> </w:t>
      </w:r>
      <w:hyperlink r:id="rId4" w:history="1">
        <w:r w:rsidR="008D1FCD" w:rsidRPr="008519A9">
          <w:rPr>
            <w:rStyle w:val="Enlla"/>
          </w:rPr>
          <w:t>https://www.sindicaturabarcelona.cat/wp-content/uploads/20250614-INF-Allotjaments.pdf</w:t>
        </w:r>
      </w:hyperlink>
      <w:r w:rsidR="008D1FCD" w:rsidRPr="008519A9">
        <w:t xml:space="preserve"> </w:t>
      </w:r>
    </w:p>
  </w:footnote>
  <w:footnote w:id="5">
    <w:p w14:paraId="1BE33875" w14:textId="322DDE37" w:rsidR="00086722" w:rsidRPr="008519A9" w:rsidRDefault="00086722">
      <w:pPr>
        <w:pStyle w:val="Textdenotaapeudepgina"/>
      </w:pPr>
      <w:r w:rsidRPr="008519A9">
        <w:rPr>
          <w:rStyle w:val="Refernciadenotaapeudepgina"/>
        </w:rPr>
        <w:footnoteRef/>
      </w:r>
      <w:r w:rsidRPr="008519A9">
        <w:t xml:space="preserve"> </w:t>
      </w:r>
      <w:hyperlink r:id="rId5" w:history="1">
        <w:r w:rsidRPr="008519A9">
          <w:rPr>
            <w:rStyle w:val="Enlla"/>
          </w:rPr>
          <w:t>https://elpais.com/espana/catalunya/2026-01-24/barcelona-comunica-a-sus-servicios-sociales-no-hay-mas-plazas-en-pensiones-para-familias-que-pierden-la-vivienda.html</w:t>
        </w:r>
      </w:hyperlink>
      <w:r w:rsidRPr="008519A9">
        <w:t xml:space="preserve"> </w:t>
      </w:r>
    </w:p>
  </w:footnote>
  <w:footnote w:id="6">
    <w:p w14:paraId="3ABA6651" w14:textId="7CB9581A" w:rsidR="009E7160" w:rsidRPr="008519A9" w:rsidRDefault="009E7160" w:rsidP="009E7160">
      <w:pPr>
        <w:pStyle w:val="Textdenotaapeudepgina"/>
        <w:jc w:val="both"/>
      </w:pPr>
      <w:r w:rsidRPr="008519A9">
        <w:rPr>
          <w:rStyle w:val="Refernciadenotaapeudepgina"/>
        </w:rPr>
        <w:footnoteRef/>
      </w:r>
      <w:r w:rsidRPr="008519A9">
        <w:t xml:space="preserve"> Taula d’elaboració pròpia amb dades del </w:t>
      </w:r>
      <w:hyperlink r:id="rId6" w:history="1">
        <w:r w:rsidRPr="008519A9">
          <w:rPr>
            <w:rStyle w:val="Enlla"/>
          </w:rPr>
          <w:t>Consell General del Poder Judicial</w:t>
        </w:r>
      </w:hyperlink>
      <w:r w:rsidRPr="008519A9">
        <w:t xml:space="preserve"> i </w:t>
      </w:r>
      <w:r w:rsidR="00F60083" w:rsidRPr="008519A9">
        <w:t xml:space="preserve">informació obtinguda a través de les peticions d’informació pública a l’Ajuntament de Badalona. Aquesta administració no va facilitar les dades dels exercicis anteriors al 2025. </w:t>
      </w:r>
    </w:p>
  </w:footnote>
  <w:footnote w:id="7">
    <w:p w14:paraId="7B0B8E59" w14:textId="30F93C2E" w:rsidR="00C87AB1" w:rsidRPr="008519A9" w:rsidRDefault="00C87AB1">
      <w:pPr>
        <w:pStyle w:val="Textdenotaapeudepgina"/>
      </w:pPr>
      <w:r w:rsidRPr="008519A9">
        <w:rPr>
          <w:rStyle w:val="Refernciadenotaapeudepgina"/>
        </w:rPr>
        <w:footnoteRef/>
      </w:r>
      <w:r w:rsidRPr="008519A9">
        <w:t xml:space="preserve"> </w:t>
      </w:r>
      <w:hyperlink r:id="rId7" w:history="1">
        <w:r w:rsidRPr="008519A9">
          <w:rPr>
            <w:rStyle w:val="Enlla"/>
          </w:rPr>
          <w:t>https://elpais.com/espana/catalunya/2025-12-28/badalona-y-el-desalojo-del-b9-un-ensayo-de-lo-que-supone-senalar-al-migrante-pobre.html</w:t>
        </w:r>
      </w:hyperlink>
      <w:r w:rsidRPr="008519A9">
        <w:t xml:space="preserve"> </w:t>
      </w:r>
    </w:p>
  </w:footnote>
  <w:footnote w:id="8">
    <w:p w14:paraId="6248B472" w14:textId="251895DC" w:rsidR="005C4719" w:rsidRPr="008519A9" w:rsidRDefault="005C4719">
      <w:pPr>
        <w:pStyle w:val="Textdenotaapeudepgina"/>
      </w:pPr>
      <w:r w:rsidRPr="008519A9">
        <w:rPr>
          <w:rStyle w:val="Refernciadenotaapeudepgina"/>
        </w:rPr>
        <w:footnoteRef/>
      </w:r>
      <w:r w:rsidRPr="008519A9">
        <w:t xml:space="preserve"> </w:t>
      </w:r>
      <w:hyperlink r:id="rId8" w:history="1">
        <w:r w:rsidRPr="008519A9">
          <w:rPr>
            <w:rStyle w:val="Enlla"/>
          </w:rPr>
          <w:t>https://www.rtve.es/noticias/20260123/fiscalia-investiga-a-albiol-por-macrodesalojo-del-edificio-b9-badalona-dejo-a-400-personas-calle/16907138.shtml</w:t>
        </w:r>
      </w:hyperlink>
      <w:r w:rsidRPr="008519A9">
        <w:t xml:space="preserve"> </w:t>
      </w:r>
    </w:p>
  </w:footnote>
  <w:footnote w:id="9">
    <w:p w14:paraId="5DA4D780" w14:textId="572D2DCB" w:rsidR="00AE4BCB" w:rsidRPr="008519A9" w:rsidRDefault="00AE4BCB">
      <w:pPr>
        <w:pStyle w:val="Textdenotaapeudepgina"/>
      </w:pPr>
      <w:r w:rsidRPr="008519A9">
        <w:rPr>
          <w:rStyle w:val="Refernciadenotaapeudepgina"/>
        </w:rPr>
        <w:footnoteRef/>
      </w:r>
      <w:r w:rsidRPr="008519A9">
        <w:t xml:space="preserve"> </w:t>
      </w:r>
      <w:hyperlink r:id="rId9" w:history="1">
        <w:r w:rsidR="005F7835" w:rsidRPr="008519A9">
          <w:rPr>
            <w:rStyle w:val="Enlla"/>
          </w:rPr>
          <w:t>https://www.eldiario.es/catalunya/albiol-devuelve-cuarta-parte-fondos-govern-atender-personas-hogar_1_12912720.html</w:t>
        </w:r>
      </w:hyperlink>
      <w:r w:rsidR="005F7835" w:rsidRPr="008519A9">
        <w:t xml:space="preserve"> </w:t>
      </w:r>
    </w:p>
  </w:footnote>
  <w:footnote w:id="10">
    <w:p w14:paraId="62E9F0F6" w14:textId="1A02C32F" w:rsidR="001E4960" w:rsidRPr="008519A9" w:rsidRDefault="001E4960">
      <w:pPr>
        <w:pStyle w:val="Textdenotaapeudepgina"/>
      </w:pPr>
      <w:r w:rsidRPr="008519A9">
        <w:rPr>
          <w:rStyle w:val="Refernciadenotaapeudepgina"/>
        </w:rPr>
        <w:footnoteRef/>
      </w:r>
      <w:r w:rsidRPr="008519A9">
        <w:t xml:space="preserve"> </w:t>
      </w:r>
      <w:hyperlink r:id="rId10" w:history="1">
        <w:r w:rsidRPr="008519A9">
          <w:rPr>
            <w:rStyle w:val="Enlla"/>
          </w:rPr>
          <w:t>https://directa.cat/sis-mesos-desnonats-de-badalona-i-una-malaltia-que-ha-empitjorat-mes-que-en-anys/</w:t>
        </w:r>
      </w:hyperlink>
      <w:r w:rsidRPr="008519A9">
        <w:t xml:space="preserve"> </w:t>
      </w:r>
    </w:p>
  </w:footnote>
  <w:footnote w:id="11">
    <w:p w14:paraId="7EB3C1C5" w14:textId="71C2B1C2" w:rsidR="009E7160" w:rsidRPr="008519A9" w:rsidRDefault="009E7160" w:rsidP="009E7160">
      <w:pPr>
        <w:pStyle w:val="Textdenotaapeudepgina"/>
        <w:jc w:val="both"/>
      </w:pPr>
      <w:r w:rsidRPr="008519A9">
        <w:rPr>
          <w:rStyle w:val="Refernciadenotaapeudepgina"/>
        </w:rPr>
        <w:footnoteRef/>
      </w:r>
      <w:r w:rsidRPr="008519A9">
        <w:t xml:space="preserve"> Taula d’elaboració pròpia amb dades del </w:t>
      </w:r>
      <w:hyperlink r:id="rId11" w:history="1">
        <w:r w:rsidRPr="008519A9">
          <w:rPr>
            <w:rStyle w:val="Enlla"/>
          </w:rPr>
          <w:t>Consell General del Poder Judicial</w:t>
        </w:r>
      </w:hyperlink>
      <w:r w:rsidRPr="008519A9">
        <w:t xml:space="preserve"> i </w:t>
      </w:r>
      <w:r w:rsidR="00C075CF">
        <w:t xml:space="preserve"> la información aportada per part de l’Ajnutament de l’Hospitalet en resposta a una petició d’informació pública. </w:t>
      </w:r>
    </w:p>
  </w:footnote>
  <w:footnote w:id="12">
    <w:p w14:paraId="0F557F8F" w14:textId="240BC691" w:rsidR="005B2522" w:rsidRPr="008519A9" w:rsidRDefault="005B2522">
      <w:pPr>
        <w:pStyle w:val="Textdenotaapeudepgina"/>
      </w:pPr>
      <w:r w:rsidRPr="008519A9">
        <w:rPr>
          <w:rStyle w:val="Refernciadenotaapeudepgina"/>
        </w:rPr>
        <w:footnoteRef/>
      </w:r>
      <w:r w:rsidRPr="008519A9">
        <w:t xml:space="preserve"> Les dades del 2025 són parcials, falten les de l’</w:t>
      </w:r>
      <w:r w:rsidR="00BA7C18">
        <w:t xml:space="preserve">últim trimestre. </w:t>
      </w:r>
    </w:p>
  </w:footnote>
  <w:footnote w:id="13">
    <w:p w14:paraId="4C87404A" w14:textId="7E82C704" w:rsidR="00C172FD" w:rsidRPr="008519A9" w:rsidRDefault="00C172FD">
      <w:pPr>
        <w:pStyle w:val="Textdenotaapeudepgina"/>
      </w:pPr>
      <w:r w:rsidRPr="008519A9">
        <w:rPr>
          <w:rStyle w:val="Refernciadenotaapeudepgina"/>
        </w:rPr>
        <w:footnoteRef/>
      </w:r>
      <w:r w:rsidRPr="008519A9">
        <w:t xml:space="preserve"> </w:t>
      </w:r>
      <w:hyperlink r:id="rId12" w:history="1">
        <w:r w:rsidRPr="008519A9">
          <w:rPr>
            <w:rStyle w:val="Enlla"/>
          </w:rPr>
          <w:t>https://www.elperiodico.com/es/sociedad/20250630/vida-garaje-familia-tres-hijos-hospitalet-llobregat-vivienda-cataluna-118551146</w:t>
        </w:r>
      </w:hyperlink>
      <w:r w:rsidRPr="008519A9">
        <w:t xml:space="preserve"> </w:t>
      </w:r>
    </w:p>
  </w:footnote>
  <w:footnote w:id="14">
    <w:p w14:paraId="7B7BB603" w14:textId="598673A3" w:rsidR="00DF73A5" w:rsidRPr="008519A9" w:rsidRDefault="00DF73A5">
      <w:pPr>
        <w:pStyle w:val="Textdenotaapeudepgina"/>
      </w:pPr>
      <w:r w:rsidRPr="008519A9">
        <w:rPr>
          <w:rStyle w:val="Refernciadenotaapeudepgina"/>
        </w:rPr>
        <w:footnoteRef/>
      </w:r>
      <w:r w:rsidRPr="008519A9">
        <w:t xml:space="preserve"> Comité DESC, </w:t>
      </w:r>
      <w:r w:rsidRPr="008519A9">
        <w:rPr>
          <w:i/>
          <w:iCs/>
        </w:rPr>
        <w:t>Maribel Viviana López Albán c. España</w:t>
      </w:r>
      <w:r w:rsidR="00BE0DE8" w:rsidRPr="008519A9">
        <w:t xml:space="preserve">; </w:t>
      </w:r>
      <w:r w:rsidR="00BE0DE8" w:rsidRPr="008519A9">
        <w:rPr>
          <w:i/>
          <w:iCs/>
        </w:rPr>
        <w:t>Mohamed Ben Djazia, Naouel Bellili c. España</w:t>
      </w:r>
      <w:r w:rsidR="00BE0DE8" w:rsidRPr="008519A9">
        <w:t xml:space="preserve">. </w:t>
      </w:r>
    </w:p>
  </w:footnote>
  <w:footnote w:id="15">
    <w:p w14:paraId="09F0067F" w14:textId="5C6FDC57" w:rsidR="00916D38" w:rsidRPr="00916D38" w:rsidRDefault="00916D38">
      <w:pPr>
        <w:pStyle w:val="Textdenotaapeudepgina"/>
        <w:rPr>
          <w:lang w:val="ca-ES"/>
        </w:rPr>
      </w:pPr>
      <w:r w:rsidRPr="008519A9">
        <w:rPr>
          <w:rStyle w:val="Refernciadenotaapeudepgina"/>
        </w:rPr>
        <w:footnoteRef/>
      </w:r>
      <w:r w:rsidRPr="008519A9">
        <w:t xml:space="preserve"> </w:t>
      </w:r>
      <w:hyperlink r:id="rId13" w:history="1">
        <w:r w:rsidRPr="008519A9">
          <w:rPr>
            <w:rStyle w:val="Enlla"/>
          </w:rPr>
          <w:t>https://www.elperiodico.com/es/barcelona/hospitalet/20221005/desahucio-hospitalet-termina-menor-8-anos-en-la-calle-dos-detenidos-76885579</w:t>
        </w:r>
      </w:hyperlink>
      <w:r w:rsidRPr="008519A9">
        <w:t xml:space="preserve"> </w:t>
      </w:r>
      <w:r w:rsidR="00A403E6" w:rsidRPr="008519A9">
        <w:t xml:space="preserve">y </w:t>
      </w:r>
      <w:hyperlink r:id="rId14" w:history="1">
        <w:r w:rsidR="00A403E6" w:rsidRPr="008519A9">
          <w:rPr>
            <w:rStyle w:val="Enlla"/>
          </w:rPr>
          <w:t>https://pahbarcelona.org/hoy-el-ayuntamiento-de-hospitalet-ha-dejado-en-la-calle-a-khadija-y-sus-hijas-en-plena-pandemia/</w:t>
        </w:r>
      </w:hyperlink>
      <w:r w:rsidR="00A403E6" w:rsidRPr="008519A9">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34C36B" w14:textId="77777777" w:rsidR="00D3034D" w:rsidRPr="008519A9" w:rsidRDefault="00D739F2">
    <w:r w:rsidRPr="008519A9">
      <w:rPr>
        <w:noProof/>
      </w:rPr>
      <w:drawing>
        <wp:inline distT="114300" distB="114300" distL="114300" distR="114300" wp14:anchorId="5F0F1601" wp14:editId="60CC126E">
          <wp:extent cx="1285875" cy="466725"/>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1285875" cy="466725"/>
                  </a:xfrm>
                  <a:prstGeom prst="rect">
                    <a:avLst/>
                  </a:prstGeom>
                  <a:ln/>
                </pic:spPr>
              </pic:pic>
            </a:graphicData>
          </a:graphic>
        </wp:inline>
      </w:drawing>
    </w:r>
  </w:p>
  <w:p w14:paraId="5939BD4E" w14:textId="77777777" w:rsidR="00D3034D" w:rsidRPr="008519A9" w:rsidRDefault="00D3034D"/>
  <w:p w14:paraId="17204696" w14:textId="77777777" w:rsidR="00D3034D" w:rsidRPr="008519A9" w:rsidRDefault="00D3034D"/>
  <w:p w14:paraId="4C409586" w14:textId="77777777" w:rsidR="00D3034D" w:rsidRPr="008519A9" w:rsidRDefault="00D3034D"/>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3034D"/>
    <w:rsid w:val="00004E23"/>
    <w:rsid w:val="00006914"/>
    <w:rsid w:val="000165D9"/>
    <w:rsid w:val="00032EAA"/>
    <w:rsid w:val="00033CAA"/>
    <w:rsid w:val="00067D92"/>
    <w:rsid w:val="00084BCA"/>
    <w:rsid w:val="00086722"/>
    <w:rsid w:val="000942E5"/>
    <w:rsid w:val="0009720E"/>
    <w:rsid w:val="000A171E"/>
    <w:rsid w:val="000C2CEB"/>
    <w:rsid w:val="000C7780"/>
    <w:rsid w:val="000E4C98"/>
    <w:rsid w:val="0010101E"/>
    <w:rsid w:val="00126DA6"/>
    <w:rsid w:val="00140FA3"/>
    <w:rsid w:val="001546F4"/>
    <w:rsid w:val="00181B76"/>
    <w:rsid w:val="00190F4C"/>
    <w:rsid w:val="00195BB0"/>
    <w:rsid w:val="001A1ADE"/>
    <w:rsid w:val="001A3789"/>
    <w:rsid w:val="001A5981"/>
    <w:rsid w:val="001B2837"/>
    <w:rsid w:val="001C027E"/>
    <w:rsid w:val="001C69FE"/>
    <w:rsid w:val="001D218A"/>
    <w:rsid w:val="001E1C7E"/>
    <w:rsid w:val="001E4960"/>
    <w:rsid w:val="001E63D7"/>
    <w:rsid w:val="001F1022"/>
    <w:rsid w:val="002146AE"/>
    <w:rsid w:val="00235883"/>
    <w:rsid w:val="00260D65"/>
    <w:rsid w:val="00261E2A"/>
    <w:rsid w:val="002632BD"/>
    <w:rsid w:val="00263BF2"/>
    <w:rsid w:val="00267523"/>
    <w:rsid w:val="00276A27"/>
    <w:rsid w:val="0027726D"/>
    <w:rsid w:val="00291602"/>
    <w:rsid w:val="002A4B94"/>
    <w:rsid w:val="002A587D"/>
    <w:rsid w:val="002E066B"/>
    <w:rsid w:val="002E56A4"/>
    <w:rsid w:val="00305182"/>
    <w:rsid w:val="00307EA3"/>
    <w:rsid w:val="003107C2"/>
    <w:rsid w:val="0032044F"/>
    <w:rsid w:val="00351CFB"/>
    <w:rsid w:val="00363D88"/>
    <w:rsid w:val="00366A6A"/>
    <w:rsid w:val="0037039F"/>
    <w:rsid w:val="00375889"/>
    <w:rsid w:val="00396F16"/>
    <w:rsid w:val="003B6AB2"/>
    <w:rsid w:val="003D28B8"/>
    <w:rsid w:val="003E4D79"/>
    <w:rsid w:val="004106B5"/>
    <w:rsid w:val="004617A9"/>
    <w:rsid w:val="00463534"/>
    <w:rsid w:val="004740F3"/>
    <w:rsid w:val="00475A18"/>
    <w:rsid w:val="004A316A"/>
    <w:rsid w:val="004B37F1"/>
    <w:rsid w:val="004D0396"/>
    <w:rsid w:val="004D4FFB"/>
    <w:rsid w:val="004E5174"/>
    <w:rsid w:val="00517E08"/>
    <w:rsid w:val="005211A5"/>
    <w:rsid w:val="005306D9"/>
    <w:rsid w:val="00551760"/>
    <w:rsid w:val="00574AE8"/>
    <w:rsid w:val="0058587F"/>
    <w:rsid w:val="005A1952"/>
    <w:rsid w:val="005A5016"/>
    <w:rsid w:val="005B2522"/>
    <w:rsid w:val="005B71BD"/>
    <w:rsid w:val="005C4719"/>
    <w:rsid w:val="005E272D"/>
    <w:rsid w:val="005F0706"/>
    <w:rsid w:val="005F7835"/>
    <w:rsid w:val="006147DE"/>
    <w:rsid w:val="006212D1"/>
    <w:rsid w:val="006547C9"/>
    <w:rsid w:val="00671DA9"/>
    <w:rsid w:val="00672D4E"/>
    <w:rsid w:val="00683CB0"/>
    <w:rsid w:val="00692861"/>
    <w:rsid w:val="00692EC1"/>
    <w:rsid w:val="0069779C"/>
    <w:rsid w:val="006D08ED"/>
    <w:rsid w:val="00717AB2"/>
    <w:rsid w:val="00725275"/>
    <w:rsid w:val="0073145E"/>
    <w:rsid w:val="00737888"/>
    <w:rsid w:val="00741966"/>
    <w:rsid w:val="00762389"/>
    <w:rsid w:val="0076683F"/>
    <w:rsid w:val="007A2329"/>
    <w:rsid w:val="007B06E6"/>
    <w:rsid w:val="007E782E"/>
    <w:rsid w:val="00804338"/>
    <w:rsid w:val="00831915"/>
    <w:rsid w:val="008400A3"/>
    <w:rsid w:val="008519A9"/>
    <w:rsid w:val="00881080"/>
    <w:rsid w:val="008831AE"/>
    <w:rsid w:val="00883758"/>
    <w:rsid w:val="00886614"/>
    <w:rsid w:val="00887F79"/>
    <w:rsid w:val="008B0561"/>
    <w:rsid w:val="008B4043"/>
    <w:rsid w:val="008C0F67"/>
    <w:rsid w:val="008C3B1D"/>
    <w:rsid w:val="008D1FCD"/>
    <w:rsid w:val="008D666F"/>
    <w:rsid w:val="009007D1"/>
    <w:rsid w:val="00902255"/>
    <w:rsid w:val="00916D38"/>
    <w:rsid w:val="009266C7"/>
    <w:rsid w:val="0095287D"/>
    <w:rsid w:val="0095584D"/>
    <w:rsid w:val="00991B41"/>
    <w:rsid w:val="0099306F"/>
    <w:rsid w:val="009B56E9"/>
    <w:rsid w:val="009D7F34"/>
    <w:rsid w:val="009E7160"/>
    <w:rsid w:val="00A01098"/>
    <w:rsid w:val="00A02C75"/>
    <w:rsid w:val="00A03A20"/>
    <w:rsid w:val="00A04562"/>
    <w:rsid w:val="00A11B1B"/>
    <w:rsid w:val="00A15289"/>
    <w:rsid w:val="00A24347"/>
    <w:rsid w:val="00A26530"/>
    <w:rsid w:val="00A32EC1"/>
    <w:rsid w:val="00A403E6"/>
    <w:rsid w:val="00A5055C"/>
    <w:rsid w:val="00A52DCE"/>
    <w:rsid w:val="00A72178"/>
    <w:rsid w:val="00A80DD8"/>
    <w:rsid w:val="00A95429"/>
    <w:rsid w:val="00AA251F"/>
    <w:rsid w:val="00AA3FD9"/>
    <w:rsid w:val="00AA4EF3"/>
    <w:rsid w:val="00AD3D03"/>
    <w:rsid w:val="00AE0721"/>
    <w:rsid w:val="00AE4BCB"/>
    <w:rsid w:val="00AF2C0B"/>
    <w:rsid w:val="00B2528D"/>
    <w:rsid w:val="00B26623"/>
    <w:rsid w:val="00B43B07"/>
    <w:rsid w:val="00B61DBF"/>
    <w:rsid w:val="00B6533C"/>
    <w:rsid w:val="00B86983"/>
    <w:rsid w:val="00BA47E9"/>
    <w:rsid w:val="00BA7C18"/>
    <w:rsid w:val="00BC20AE"/>
    <w:rsid w:val="00BD6AED"/>
    <w:rsid w:val="00BE00FF"/>
    <w:rsid w:val="00BE0DE8"/>
    <w:rsid w:val="00BE2AE0"/>
    <w:rsid w:val="00BE7268"/>
    <w:rsid w:val="00BF535C"/>
    <w:rsid w:val="00C0286B"/>
    <w:rsid w:val="00C075CF"/>
    <w:rsid w:val="00C16B02"/>
    <w:rsid w:val="00C172FD"/>
    <w:rsid w:val="00C2358A"/>
    <w:rsid w:val="00C375CA"/>
    <w:rsid w:val="00C5042D"/>
    <w:rsid w:val="00C56ED9"/>
    <w:rsid w:val="00C66EBC"/>
    <w:rsid w:val="00C74365"/>
    <w:rsid w:val="00C82AA0"/>
    <w:rsid w:val="00C87AB1"/>
    <w:rsid w:val="00CB2A87"/>
    <w:rsid w:val="00CC1903"/>
    <w:rsid w:val="00CC479A"/>
    <w:rsid w:val="00CE2585"/>
    <w:rsid w:val="00D16B01"/>
    <w:rsid w:val="00D3034D"/>
    <w:rsid w:val="00D32723"/>
    <w:rsid w:val="00D44D41"/>
    <w:rsid w:val="00D47BDE"/>
    <w:rsid w:val="00D61FE3"/>
    <w:rsid w:val="00D739F2"/>
    <w:rsid w:val="00D96D27"/>
    <w:rsid w:val="00DC0D08"/>
    <w:rsid w:val="00DC404F"/>
    <w:rsid w:val="00DC464F"/>
    <w:rsid w:val="00DD5983"/>
    <w:rsid w:val="00DF1C50"/>
    <w:rsid w:val="00DF20F8"/>
    <w:rsid w:val="00DF73A5"/>
    <w:rsid w:val="00E24866"/>
    <w:rsid w:val="00E5571D"/>
    <w:rsid w:val="00E56E94"/>
    <w:rsid w:val="00E7296D"/>
    <w:rsid w:val="00E803E3"/>
    <w:rsid w:val="00E85828"/>
    <w:rsid w:val="00EB7885"/>
    <w:rsid w:val="00EC09DC"/>
    <w:rsid w:val="00EC64A2"/>
    <w:rsid w:val="00ED3735"/>
    <w:rsid w:val="00ED7097"/>
    <w:rsid w:val="00EE114F"/>
    <w:rsid w:val="00EE1CD1"/>
    <w:rsid w:val="00EF0AE5"/>
    <w:rsid w:val="00F45245"/>
    <w:rsid w:val="00F60083"/>
    <w:rsid w:val="00F713A1"/>
    <w:rsid w:val="00FA2694"/>
    <w:rsid w:val="00FC11E9"/>
    <w:rsid w:val="00FC1386"/>
    <w:rsid w:val="00FC3C17"/>
    <w:rsid w:val="00FC7A6B"/>
    <w:rsid w:val="00FD2B98"/>
    <w:rsid w:val="00FF464C"/>
  </w:rsids>
  <m:mathPr>
    <m:mathFont m:val="Cambria Math"/>
    <m:brkBin m:val="before"/>
    <m:brkBinSub m:val="--"/>
    <m:smallFrac m:val="0"/>
    <m:dispDef/>
    <m:lMargin m:val="0"/>
    <m:rMargin m:val="0"/>
    <m:defJc m:val="centerGroup"/>
    <m:wrapIndent m:val="1440"/>
    <m:intLim m:val="subSup"/>
    <m:naryLim m:val="undOvr"/>
  </m:mathPr>
  <w:themeFontLang w:val="ca-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BB362E"/>
  <w15:docId w15:val="{396C736E-E49A-4705-9A49-AE61228590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s" w:eastAsia="ca-E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E7160"/>
    <w:rPr>
      <w:lang w:val="es-ES"/>
    </w:rPr>
  </w:style>
  <w:style w:type="paragraph" w:styleId="Ttol1">
    <w:name w:val="heading 1"/>
    <w:basedOn w:val="Normal"/>
    <w:next w:val="Normal"/>
    <w:uiPriority w:val="9"/>
    <w:qFormat/>
    <w:pPr>
      <w:keepNext/>
      <w:keepLines/>
      <w:spacing w:before="400" w:after="120"/>
      <w:outlineLvl w:val="0"/>
    </w:pPr>
    <w:rPr>
      <w:sz w:val="40"/>
      <w:szCs w:val="40"/>
    </w:rPr>
  </w:style>
  <w:style w:type="paragraph" w:styleId="Ttol2">
    <w:name w:val="heading 2"/>
    <w:basedOn w:val="Normal"/>
    <w:next w:val="Normal"/>
    <w:uiPriority w:val="9"/>
    <w:semiHidden/>
    <w:unhideWhenUsed/>
    <w:qFormat/>
    <w:pPr>
      <w:keepNext/>
      <w:keepLines/>
      <w:spacing w:before="360" w:after="120"/>
      <w:outlineLvl w:val="1"/>
    </w:pPr>
    <w:rPr>
      <w:sz w:val="32"/>
      <w:szCs w:val="32"/>
    </w:rPr>
  </w:style>
  <w:style w:type="paragraph" w:styleId="Ttol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Ttol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Ttol5">
    <w:name w:val="heading 5"/>
    <w:basedOn w:val="Normal"/>
    <w:next w:val="Normal"/>
    <w:uiPriority w:val="9"/>
    <w:semiHidden/>
    <w:unhideWhenUsed/>
    <w:qFormat/>
    <w:pPr>
      <w:keepNext/>
      <w:keepLines/>
      <w:spacing w:before="240" w:after="80"/>
      <w:outlineLvl w:val="4"/>
    </w:pPr>
    <w:rPr>
      <w:color w:val="666666"/>
    </w:rPr>
  </w:style>
  <w:style w:type="paragraph" w:styleId="Ttol6">
    <w:name w:val="heading 6"/>
    <w:basedOn w:val="Normal"/>
    <w:next w:val="Normal"/>
    <w:uiPriority w:val="9"/>
    <w:semiHidden/>
    <w:unhideWhenUsed/>
    <w:qFormat/>
    <w:pPr>
      <w:keepNext/>
      <w:keepLines/>
      <w:spacing w:before="240" w:after="80"/>
      <w:outlineLvl w:val="5"/>
    </w:pPr>
    <w:rPr>
      <w:i/>
      <w:iCs/>
      <w:color w:val="666666"/>
    </w:rPr>
  </w:style>
  <w:style w:type="character" w:default="1" w:styleId="Lletraperdefectedelpargraf">
    <w:name w:val="Default Paragraph Font"/>
    <w:uiPriority w:val="1"/>
    <w:semiHidden/>
    <w:unhideWhenUsed/>
  </w:style>
  <w:style w:type="table" w:default="1" w:styleId="Taulanormal">
    <w:name w:val="Normal Table"/>
    <w:uiPriority w:val="99"/>
    <w:semiHidden/>
    <w:unhideWhenUsed/>
    <w:tblPr>
      <w:tblInd w:w="0" w:type="dxa"/>
      <w:tblCellMar>
        <w:top w:w="0" w:type="dxa"/>
        <w:left w:w="108" w:type="dxa"/>
        <w:bottom w:w="0" w:type="dxa"/>
        <w:right w:w="108" w:type="dxa"/>
      </w:tblCellMar>
    </w:tblPr>
  </w:style>
  <w:style w:type="numbering" w:default="1" w:styleId="Sensellista">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tol">
    <w:name w:val="Title"/>
    <w:basedOn w:val="Normal"/>
    <w:next w:val="Normal"/>
    <w:uiPriority w:val="10"/>
    <w:qFormat/>
    <w:pPr>
      <w:keepNext/>
      <w:keepLines/>
      <w:spacing w:after="60"/>
    </w:pPr>
    <w:rPr>
      <w:sz w:val="52"/>
      <w:szCs w:val="52"/>
    </w:rPr>
  </w:style>
  <w:style w:type="paragraph" w:styleId="Subttol">
    <w:name w:val="Subtitle"/>
    <w:basedOn w:val="Normal"/>
    <w:next w:val="Normal"/>
    <w:uiPriority w:val="11"/>
    <w:qFormat/>
    <w:pPr>
      <w:keepNext/>
      <w:keepLines/>
      <w:spacing w:after="320"/>
    </w:pPr>
    <w:rPr>
      <w:color w:val="666666"/>
      <w:sz w:val="30"/>
      <w:szCs w:val="30"/>
    </w:rPr>
  </w:style>
  <w:style w:type="paragraph" w:styleId="Capalera">
    <w:name w:val="header"/>
    <w:basedOn w:val="Normal"/>
    <w:link w:val="CapaleraCar"/>
    <w:uiPriority w:val="99"/>
    <w:semiHidden/>
    <w:unhideWhenUsed/>
    <w:rsid w:val="008400A3"/>
    <w:pPr>
      <w:tabs>
        <w:tab w:val="center" w:pos="4252"/>
        <w:tab w:val="right" w:pos="8504"/>
      </w:tabs>
      <w:spacing w:line="240" w:lineRule="auto"/>
    </w:pPr>
  </w:style>
  <w:style w:type="character" w:customStyle="1" w:styleId="CapaleraCar">
    <w:name w:val="Capçalera Car"/>
    <w:basedOn w:val="Lletraperdefectedelpargraf"/>
    <w:link w:val="Capalera"/>
    <w:uiPriority w:val="99"/>
    <w:semiHidden/>
    <w:rsid w:val="008400A3"/>
  </w:style>
  <w:style w:type="paragraph" w:styleId="Peu">
    <w:name w:val="footer"/>
    <w:basedOn w:val="Normal"/>
    <w:link w:val="PeuCar"/>
    <w:uiPriority w:val="99"/>
    <w:semiHidden/>
    <w:unhideWhenUsed/>
    <w:rsid w:val="008400A3"/>
    <w:pPr>
      <w:tabs>
        <w:tab w:val="center" w:pos="4252"/>
        <w:tab w:val="right" w:pos="8504"/>
      </w:tabs>
      <w:spacing w:line="240" w:lineRule="auto"/>
    </w:pPr>
  </w:style>
  <w:style w:type="character" w:customStyle="1" w:styleId="PeuCar">
    <w:name w:val="Peu Car"/>
    <w:basedOn w:val="Lletraperdefectedelpargraf"/>
    <w:link w:val="Peu"/>
    <w:uiPriority w:val="99"/>
    <w:semiHidden/>
    <w:rsid w:val="008400A3"/>
  </w:style>
  <w:style w:type="paragraph" w:styleId="Textdenotaapeudepgina">
    <w:name w:val="footnote text"/>
    <w:basedOn w:val="Normal"/>
    <w:link w:val="TextdenotaapeudepginaCar"/>
    <w:uiPriority w:val="99"/>
    <w:semiHidden/>
    <w:unhideWhenUsed/>
    <w:rsid w:val="00AE0721"/>
    <w:pPr>
      <w:spacing w:line="240" w:lineRule="auto"/>
    </w:pPr>
    <w:rPr>
      <w:sz w:val="20"/>
      <w:szCs w:val="20"/>
    </w:rPr>
  </w:style>
  <w:style w:type="character" w:customStyle="1" w:styleId="TextdenotaapeudepginaCar">
    <w:name w:val="Text de nota a peu de pàgina Car"/>
    <w:basedOn w:val="Lletraperdefectedelpargraf"/>
    <w:link w:val="Textdenotaapeudepgina"/>
    <w:uiPriority w:val="99"/>
    <w:semiHidden/>
    <w:rsid w:val="00AE0721"/>
    <w:rPr>
      <w:sz w:val="20"/>
      <w:szCs w:val="20"/>
    </w:rPr>
  </w:style>
  <w:style w:type="character" w:styleId="Refernciadenotaapeudepgina">
    <w:name w:val="footnote reference"/>
    <w:basedOn w:val="Lletraperdefectedelpargraf"/>
    <w:uiPriority w:val="99"/>
    <w:semiHidden/>
    <w:unhideWhenUsed/>
    <w:rsid w:val="00AE0721"/>
    <w:rPr>
      <w:vertAlign w:val="superscript"/>
    </w:rPr>
  </w:style>
  <w:style w:type="character" w:styleId="Enlla">
    <w:name w:val="Hyperlink"/>
    <w:basedOn w:val="Lletraperdefectedelpargraf"/>
    <w:uiPriority w:val="99"/>
    <w:unhideWhenUsed/>
    <w:rsid w:val="00475A18"/>
    <w:rPr>
      <w:color w:val="0000FF" w:themeColor="hyperlink"/>
      <w:u w:val="single"/>
    </w:rPr>
  </w:style>
  <w:style w:type="character" w:styleId="Mencisenseresoldre">
    <w:name w:val="Unresolved Mention"/>
    <w:basedOn w:val="Lletraperdefectedelpargraf"/>
    <w:uiPriority w:val="99"/>
    <w:semiHidden/>
    <w:unhideWhenUsed/>
    <w:rsid w:val="00475A18"/>
    <w:rPr>
      <w:color w:val="605E5C"/>
      <w:shd w:val="clear" w:color="auto" w:fill="E1DFDD"/>
    </w:rPr>
  </w:style>
  <w:style w:type="table" w:styleId="Taulaambquadrcula">
    <w:name w:val="Table Grid"/>
    <w:basedOn w:val="Taulanormal"/>
    <w:uiPriority w:val="39"/>
    <w:rsid w:val="00672D4E"/>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_rels/footnotes.xml.rels><?xml version="1.0" encoding="UTF-8" standalone="yes"?>
<Relationships xmlns="http://schemas.openxmlformats.org/package/2006/relationships"><Relationship Id="rId8" Type="http://schemas.openxmlformats.org/officeDocument/2006/relationships/hyperlink" Target="https://www.rtve.es/noticias/20260123/fiscalia-investiga-a-albiol-por-macrodesalojo-del-edificio-b9-badalona-dejo-a-400-personas-calle/16907138.shtml" TargetMode="External"/><Relationship Id="rId13" Type="http://schemas.openxmlformats.org/officeDocument/2006/relationships/hyperlink" Target="https://www.elperiodico.com/es/barcelona/hospitalet/20221005/desahucio-hospitalet-termina-menor-8-anos-en-la-calle-dos-detenidos-76885579" TargetMode="External"/><Relationship Id="rId3" Type="http://schemas.openxmlformats.org/officeDocument/2006/relationships/hyperlink" Target="https://www.consorcihabitatge.barcelona/sites/default/files/2026-05/Mesa_districte_CAT_ABRIL_2026.pdf" TargetMode="External"/><Relationship Id="rId7" Type="http://schemas.openxmlformats.org/officeDocument/2006/relationships/hyperlink" Target="https://elpais.com/espana/catalunya/2025-12-28/badalona-y-el-desalojo-del-b9-un-ensayo-de-lo-que-supone-senalar-al-migrante-pobre.html" TargetMode="External"/><Relationship Id="rId12" Type="http://schemas.openxmlformats.org/officeDocument/2006/relationships/hyperlink" Target="https://www.elperiodico.com/es/sociedad/20250630/vida-garaje-familia-tres-hijos-hospitalet-llobregat-vivienda-cataluna-118551146" TargetMode="External"/><Relationship Id="rId2" Type="http://schemas.openxmlformats.org/officeDocument/2006/relationships/hyperlink" Target="https://www.poderjudicial.es/cgpj/es/Temas/Estadistica-Judicial/Estudios-e-Informes/Efecto-de-la-Crisis-en-los-organos-judiciales/" TargetMode="External"/><Relationship Id="rId1" Type="http://schemas.openxmlformats.org/officeDocument/2006/relationships/hyperlink" Target="https://observatoridesc.org/sites/default/files/publication/files/a9_informe_1.pdf" TargetMode="External"/><Relationship Id="rId6" Type="http://schemas.openxmlformats.org/officeDocument/2006/relationships/hyperlink" Target="https://www.poderjudicial.es/cgpj/es/Temas/Estadistica-Judicial/Estudios-e-Informes/Efecto-de-la-Crisis-en-los-organos-judiciales/" TargetMode="External"/><Relationship Id="rId11" Type="http://schemas.openxmlformats.org/officeDocument/2006/relationships/hyperlink" Target="https://www.poderjudicial.es/cgpj/es/Temas/Estadistica-Judicial/Estudios-e-Informes/Efecto-de-la-Crisis-en-los-organos-judiciales/" TargetMode="External"/><Relationship Id="rId5" Type="http://schemas.openxmlformats.org/officeDocument/2006/relationships/hyperlink" Target="https://elpais.com/espana/catalunya/2026-01-24/barcelona-comunica-a-sus-servicios-sociales-no-hay-mas-plazas-en-pensiones-para-familias-que-pierden-la-vivienda.html" TargetMode="External"/><Relationship Id="rId10" Type="http://schemas.openxmlformats.org/officeDocument/2006/relationships/hyperlink" Target="https://directa.cat/sis-mesos-desnonats-de-badalona-i-una-malaltia-que-ha-empitjorat-mes-que-en-anys/" TargetMode="External"/><Relationship Id="rId4" Type="http://schemas.openxmlformats.org/officeDocument/2006/relationships/hyperlink" Target="https://www.sindicaturabarcelona.cat/wp-content/uploads/20250614-INF-Allotjaments.pdf" TargetMode="External"/><Relationship Id="rId9" Type="http://schemas.openxmlformats.org/officeDocument/2006/relationships/hyperlink" Target="https://www.eldiario.es/catalunya/albiol-devuelve-cuarta-parte-fondos-govern-atender-personas-hogar_1_12912720.html" TargetMode="External"/><Relationship Id="rId14" Type="http://schemas.openxmlformats.org/officeDocument/2006/relationships/hyperlink" Target="https://pahbarcelona.org/hoy-el-ayuntamiento-de-hospitalet-ha-dejado-en-la-calle-a-khadija-y-sus-hijas-en-plena-pandemia/"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a29266f8-4d7b-4357-bb81-7829d7c7a350">
      <Terms xmlns="http://schemas.microsoft.com/office/infopath/2007/PartnerControls"/>
    </lcf76f155ced4ddcb4097134ff3c332f>
    <TaxCatchAll xmlns="2628608a-facb-402e-a055-eb89a0338956"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65A0C1D72CAD89418BE757CDE1DE7D10" ma:contentTypeVersion="14" ma:contentTypeDescription="Crea un document nou" ma:contentTypeScope="" ma:versionID="ec99d262a0c6681b5320b3673a26a67d">
  <xsd:schema xmlns:xsd="http://www.w3.org/2001/XMLSchema" xmlns:xs="http://www.w3.org/2001/XMLSchema" xmlns:p="http://schemas.microsoft.com/office/2006/metadata/properties" xmlns:ns2="a29266f8-4d7b-4357-bb81-7829d7c7a350" xmlns:ns3="2628608a-facb-402e-a055-eb89a0338956" targetNamespace="http://schemas.microsoft.com/office/2006/metadata/properties" ma:root="true" ma:fieldsID="53e4350839bc57a1e992055e0dec117f" ns2:_="" ns3:_="">
    <xsd:import namespace="a29266f8-4d7b-4357-bb81-7829d7c7a350"/>
    <xsd:import namespace="2628608a-facb-402e-a055-eb89a0338956"/>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LengthInSeconds" minOccurs="0"/>
                <xsd:element ref="ns2:MediaServiceLocation"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29266f8-4d7b-4357-bb81-7829d7c7a35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Etiquetes de la imatge" ma:readOnly="false" ma:fieldId="{5cf76f15-5ced-4ddc-b409-7134ff3c332f}" ma:taxonomyMulti="true" ma:sspId="4bba8c79-44c2-4cba-91d6-d72fadd24ce2"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Location" ma:index="20" nillable="true" ma:displayName="Location" ma:indexed="true" ma:internalName="MediaServiceLocation" ma:readOnly="true">
      <xsd:simpleType>
        <xsd:restriction base="dms:Text"/>
      </xsd:simpleType>
    </xsd:element>
    <xsd:element name="MediaServiceBillingMetadata" ma:index="21"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628608a-facb-402e-a055-eb89a0338956"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104a7c2a-afa6-4b5e-8108-ac5b73e0d320}" ma:internalName="TaxCatchAll" ma:showField="CatchAllData" ma:web="2628608a-facb-402e-a055-eb89a0338956">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us de contingut"/>
        <xsd:element ref="dc:title" minOccurs="0" maxOccurs="1" ma:index="4" ma:displayName="Títo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D776341-0D24-4D03-90DD-51975FD6328F}">
  <ds:schemaRefs>
    <ds:schemaRef ds:uri="http://schemas.microsoft.com/sharepoint/v3/contenttype/forms"/>
  </ds:schemaRefs>
</ds:datastoreItem>
</file>

<file path=customXml/itemProps2.xml><?xml version="1.0" encoding="utf-8"?>
<ds:datastoreItem xmlns:ds="http://schemas.openxmlformats.org/officeDocument/2006/customXml" ds:itemID="{0F1E8FB5-C0B3-49B8-881B-E6A896F64BEB}">
  <ds:schemaRefs>
    <ds:schemaRef ds:uri="http://schemas.openxmlformats.org/officeDocument/2006/bibliography"/>
  </ds:schemaRefs>
</ds:datastoreItem>
</file>

<file path=customXml/itemProps3.xml><?xml version="1.0" encoding="utf-8"?>
<ds:datastoreItem xmlns:ds="http://schemas.openxmlformats.org/officeDocument/2006/customXml" ds:itemID="{FDB3D610-956E-406B-828D-2BB1854CECBE}">
  <ds:schemaRefs>
    <ds:schemaRef ds:uri="http://schemas.microsoft.com/office/2006/metadata/properties"/>
    <ds:schemaRef ds:uri="http://schemas.microsoft.com/office/infopath/2007/PartnerControls"/>
    <ds:schemaRef ds:uri="a29266f8-4d7b-4357-bb81-7829d7c7a350"/>
    <ds:schemaRef ds:uri="2628608a-facb-402e-a055-eb89a0338956"/>
  </ds:schemaRefs>
</ds:datastoreItem>
</file>

<file path=customXml/itemProps4.xml><?xml version="1.0" encoding="utf-8"?>
<ds:datastoreItem xmlns:ds="http://schemas.openxmlformats.org/officeDocument/2006/customXml" ds:itemID="{827E55E4-2B90-4127-AB6B-6014294327DC}"/>
</file>

<file path=docProps/app.xml><?xml version="1.0" encoding="utf-8"?>
<Properties xmlns="http://schemas.openxmlformats.org/officeDocument/2006/extended-properties" xmlns:vt="http://schemas.openxmlformats.org/officeDocument/2006/docPropsVTypes">
  <Template>Normal</Template>
  <TotalTime>1572</TotalTime>
  <Pages>10</Pages>
  <Words>2971</Words>
  <Characters>16941</Characters>
  <Application>Microsoft Office Word</Application>
  <DocSecurity>0</DocSecurity>
  <Lines>141</Lines>
  <Paragraphs>39</Paragraphs>
  <ScaleCrop>false</ScaleCrop>
  <HeadingPairs>
    <vt:vector size="2" baseType="variant">
      <vt:variant>
        <vt:lpstr>Títol</vt:lpstr>
      </vt:variant>
      <vt:variant>
        <vt:i4>1</vt:i4>
      </vt:variant>
    </vt:vector>
  </HeadingPairs>
  <TitlesOfParts>
    <vt:vector size="1" baseType="lpstr">
      <vt:lpstr/>
    </vt:vector>
  </TitlesOfParts>
  <Company/>
  <LinksUpToDate>false</LinksUpToDate>
  <CharactersWithSpaces>19873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Comunicació Observatori DESC</dc:creator>
  <cp:lastModifiedBy>Miguel Ruiz</cp:lastModifiedBy>
  <cp:revision>149</cp:revision>
  <dcterms:created xsi:type="dcterms:W3CDTF">2026-05-29T09:44:00Z</dcterms:created>
  <dcterms:modified xsi:type="dcterms:W3CDTF">2026-06-30T10:59:00Z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0x01010065A0C1D72CAD89418BE757CDE1DE7D10</vt:lpwstr>
  </property>
  <property fmtid="{D5CDD505-2E9C-101B-9397-08002B2CF9AE}" pid="3" name="MediaServiceImageTags">
    <vt:lpwstr/>
  </property>
</Properties>
</file>