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rPr>
      </w:pPr>
      <w:r w:rsidDel="00000000" w:rsidR="00000000" w:rsidRPr="00000000">
        <w:rPr>
          <w:b w:val="1"/>
          <w:bCs w:val="1"/>
          <w:rtl w:val="0"/>
        </w:rPr>
        <w:t xml:space="preserve">A LA PLAÇA NÚM</w:t>
      </w:r>
      <w:r w:rsidDel="00000000" w:rsidR="00000000" w:rsidRPr="00000000">
        <w:rPr>
          <w:b w:val="1"/>
          <w:bCs w:val="1"/>
          <w:color w:val="a02b93"/>
          <w:rtl w:val="0"/>
        </w:rPr>
        <w:t xml:space="preserve">. [X] </w:t>
      </w:r>
      <w:r w:rsidDel="00000000" w:rsidR="00000000" w:rsidRPr="00000000">
        <w:rPr>
          <w:b w:val="1"/>
          <w:bCs w:val="1"/>
          <w:rtl w:val="0"/>
        </w:rPr>
        <w:t xml:space="preserve">DE LA SECCIÓ CIVIL DEL TRIBUNAL D’INSTÀNCIA DE </w:t>
      </w:r>
      <w:r w:rsidDel="00000000" w:rsidR="00000000" w:rsidRPr="00000000">
        <w:rPr>
          <w:b w:val="1"/>
          <w:bCs w:val="1"/>
          <w:color w:val="a02b93"/>
          <w:rtl w:val="0"/>
        </w:rPr>
        <w:t xml:space="preserve">[LOCALITAT]</w:t>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color w:val="a02b93"/>
        </w:rPr>
      </w:pPr>
      <w:r w:rsidDel="00000000" w:rsidR="00000000" w:rsidRPr="00000000">
        <w:rPr>
          <w:rtl w:val="0"/>
        </w:rPr>
        <w:t xml:space="preserve">Procediment:</w:t>
      </w:r>
      <w:r w:rsidDel="00000000" w:rsidR="00000000" w:rsidRPr="00000000">
        <w:rPr>
          <w:color w:val="a02b93"/>
          <w:rtl w:val="0"/>
        </w:rPr>
        <w:t xml:space="preserve"> [tipus i número]</w:t>
      </w:r>
    </w:p>
    <w:p w:rsidR="00000000" w:rsidDel="00000000" w:rsidP="00000000" w:rsidRDefault="00000000" w:rsidRPr="00000000" w14:paraId="00000004">
      <w:pPr>
        <w:jc w:val="both"/>
        <w:rPr/>
      </w:pPr>
      <w:r w:rsidDel="00000000" w:rsidR="00000000" w:rsidRPr="00000000">
        <w:rPr>
          <w:rtl w:val="0"/>
        </w:rPr>
        <w:t xml:space="preserve">D./Dª </w:t>
      </w:r>
      <w:r w:rsidDel="00000000" w:rsidR="00000000" w:rsidRPr="00000000">
        <w:rPr>
          <w:color w:val="a02b93"/>
          <w:rtl w:val="0"/>
        </w:rPr>
        <w:t xml:space="preserve">[Nom i cognoms], </w:t>
      </w:r>
      <w:r w:rsidDel="00000000" w:rsidR="00000000" w:rsidRPr="00000000">
        <w:rPr>
          <w:rtl w:val="0"/>
        </w:rPr>
        <w:t xml:space="preserve">en qualitat de director/a del centre educatiu </w:t>
      </w:r>
      <w:r w:rsidDel="00000000" w:rsidR="00000000" w:rsidRPr="00000000">
        <w:rPr>
          <w:color w:val="a02b93"/>
          <w:rtl w:val="0"/>
        </w:rPr>
        <w:t xml:space="preserve">[nom del centre], </w:t>
      </w:r>
      <w:r w:rsidDel="00000000" w:rsidR="00000000" w:rsidRPr="00000000">
        <w:rPr>
          <w:rtl w:val="0"/>
        </w:rPr>
        <w:t xml:space="preserve">amb domicili a efectes de notificacions a [adreça], compareix i, com millor procedeixi en Dret,</w:t>
      </w:r>
    </w:p>
    <w:p w:rsidR="00000000" w:rsidDel="00000000" w:rsidP="00000000" w:rsidRDefault="00000000" w:rsidRPr="00000000" w14:paraId="00000005">
      <w:pPr>
        <w:jc w:val="both"/>
        <w:rPr/>
      </w:pPr>
      <w:r w:rsidDel="00000000" w:rsidR="00000000" w:rsidRPr="00000000">
        <w:rPr>
          <w:b w:val="1"/>
          <w:bCs w:val="1"/>
          <w:rtl w:val="0"/>
        </w:rPr>
        <w:t xml:space="preserve">DIC</w:t>
      </w:r>
      <w:r w:rsidDel="00000000" w:rsidR="00000000" w:rsidRPr="00000000">
        <w:rPr>
          <w:rtl w:val="0"/>
        </w:rPr>
        <w:t xml:space="preserve">:</w:t>
      </w:r>
    </w:p>
    <w:p w:rsidR="00000000" w:rsidDel="00000000" w:rsidP="00000000" w:rsidRDefault="00000000" w:rsidRPr="00000000" w14:paraId="00000006">
      <w:pPr>
        <w:jc w:val="both"/>
        <w:rPr/>
      </w:pPr>
      <w:r w:rsidDel="00000000" w:rsidR="00000000" w:rsidRPr="00000000">
        <w:rPr>
          <w:rtl w:val="0"/>
        </w:rPr>
        <w:t xml:space="preserve">Que mitjançant el present escrit, a l’empara dels articles 7.3 de la Llei Orgànica del Poder Judicial, 11.2 de la Llei Orgànica 1/1996, de protecció jurídica del menor, i en aplicació del principi d’interès superior del menor, es posa en coneixement d’aquest Jutjat una situació d’especial transcendència constitucional derivada de l’execució del llançament previst en el present procediment.</w:t>
      </w:r>
    </w:p>
    <w:p w:rsidR="00000000" w:rsidDel="00000000" w:rsidP="00000000" w:rsidRDefault="00000000" w:rsidRPr="00000000" w14:paraId="00000007">
      <w:pPr>
        <w:jc w:val="both"/>
        <w:rPr/>
      </w:pPr>
      <w:r w:rsidDel="00000000" w:rsidR="00000000" w:rsidRPr="00000000">
        <w:rPr>
          <w:rtl w:val="0"/>
        </w:rPr>
        <w:t xml:space="preserve">Que aquesta comunicació es realitza en exercici de les funcions pròpies del centre educatiu en la protecció de l’interès superior del menor, i amb coneixement i conformitat de la unitat familiar afectada.</w:t>
      </w:r>
    </w:p>
    <w:p w:rsidR="00000000" w:rsidDel="00000000" w:rsidP="00000000" w:rsidRDefault="00000000" w:rsidRPr="00000000" w14:paraId="00000008">
      <w:pPr>
        <w:jc w:val="both"/>
        <w:rPr/>
      </w:pPr>
      <w:r w:rsidDel="00000000" w:rsidR="00000000" w:rsidRPr="00000000">
        <w:rPr>
          <w:rtl w:val="0"/>
        </w:rPr>
        <w:t xml:space="preserve">A tal efecte,</w:t>
      </w:r>
    </w:p>
    <w:p w:rsidR="00000000" w:rsidDel="00000000" w:rsidP="00000000" w:rsidRDefault="00000000" w:rsidRPr="00000000" w14:paraId="00000009">
      <w:pPr>
        <w:jc w:val="both"/>
        <w:rPr>
          <w:b w:val="1"/>
          <w:bCs w:val="1"/>
        </w:rPr>
      </w:pPr>
      <w:r w:rsidDel="00000000" w:rsidR="00000000" w:rsidRPr="00000000">
        <w:rPr>
          <w:b w:val="1"/>
          <w:bCs w:val="1"/>
          <w:rtl w:val="0"/>
        </w:rPr>
        <w:t xml:space="preserve">EXPOSO:</w:t>
      </w:r>
    </w:p>
    <w:p w:rsidR="00000000" w:rsidDel="00000000" w:rsidP="00000000" w:rsidRDefault="00000000" w:rsidRPr="00000000" w14:paraId="0000000A">
      <w:pPr>
        <w:jc w:val="both"/>
        <w:rPr/>
      </w:pPr>
      <w:r w:rsidDel="00000000" w:rsidR="00000000" w:rsidRPr="00000000">
        <w:rPr>
          <w:rtl w:val="0"/>
        </w:rPr>
        <w:t xml:space="preserve">PRIMER.- Que el/la menor </w:t>
      </w:r>
      <w:r w:rsidDel="00000000" w:rsidR="00000000" w:rsidRPr="00000000">
        <w:rPr>
          <w:color w:val="a02b93"/>
          <w:rtl w:val="0"/>
        </w:rPr>
        <w:t xml:space="preserve">[nom o inicials], </w:t>
      </w:r>
      <w:r w:rsidDel="00000000" w:rsidR="00000000" w:rsidRPr="00000000">
        <w:rPr>
          <w:rtl w:val="0"/>
        </w:rPr>
        <w:t xml:space="preserve">alumne/a del centre educatiu que represento, es troba escolaritzat/da en el curs </w:t>
      </w:r>
      <w:r w:rsidDel="00000000" w:rsidR="00000000" w:rsidRPr="00000000">
        <w:rPr>
          <w:color w:val="a02b93"/>
          <w:rtl w:val="0"/>
        </w:rPr>
        <w:t xml:space="preserve">[nivell]</w:t>
      </w:r>
      <w:r w:rsidDel="00000000" w:rsidR="00000000" w:rsidRPr="00000000">
        <w:rPr>
          <w:rtl w:val="0"/>
        </w:rPr>
        <w:t xml:space="preserve">, dins del curs acadèmic vigent.</w:t>
      </w:r>
    </w:p>
    <w:p w:rsidR="00000000" w:rsidDel="00000000" w:rsidP="00000000" w:rsidRDefault="00000000" w:rsidRPr="00000000" w14:paraId="0000000B">
      <w:pPr>
        <w:jc w:val="both"/>
        <w:rPr/>
      </w:pPr>
      <w:r w:rsidDel="00000000" w:rsidR="00000000" w:rsidRPr="00000000">
        <w:rPr>
          <w:rtl w:val="0"/>
        </w:rPr>
        <w:t xml:space="preserve">SEGON.- Que consta a aquest centre que la seva unitat familiar es troba afectada per un procediment de desnonament amb data de llançament assenyalada, sense que, fins al moment, consti la garantia efectiva d’una alternativa habitacional adequada.</w:t>
      </w:r>
    </w:p>
    <w:p w:rsidR="00000000" w:rsidDel="00000000" w:rsidP="00000000" w:rsidRDefault="00000000" w:rsidRPr="00000000" w14:paraId="0000000C">
      <w:pPr>
        <w:jc w:val="both"/>
        <w:rPr/>
      </w:pPr>
      <w:r w:rsidDel="00000000" w:rsidR="00000000" w:rsidRPr="00000000">
        <w:rPr>
          <w:rtl w:val="0"/>
        </w:rPr>
        <w:t xml:space="preserve">TERCER.- Que la present comunicació es formula únicament als efectes de posar en coneixement del Jutjat l’impacte que la situació descrita pot tenir en el dret a l’educació del menor, sense entrar a valorar el fons del procediment ni les relacions jurídiques subjacents.</w:t>
      </w:r>
    </w:p>
    <w:p w:rsidR="00000000" w:rsidDel="00000000" w:rsidP="00000000" w:rsidRDefault="00000000" w:rsidRPr="00000000" w14:paraId="0000000D">
      <w:pPr>
        <w:jc w:val="both"/>
        <w:rPr/>
      </w:pPr>
      <w:r w:rsidDel="00000000" w:rsidR="00000000" w:rsidRPr="00000000">
        <w:rPr>
          <w:rtl w:val="0"/>
        </w:rPr>
        <w:t xml:space="preserve">QUART.- Que l’execució del llançament en aquestes circumstàncies comportaria una afectació directa, intensa i immediata del dret fonamental a l’educació (article 27 de la Constitució Espanyola), no només en la seva dimensió formal d’accés, sinó en la seva dimensió material d’estabilitat, continuïtat i aprofitament efectiu del procés educatiu, tal com ha reconegut el Tribunal Constitucional.</w:t>
      </w:r>
    </w:p>
    <w:p w:rsidR="00000000" w:rsidDel="00000000" w:rsidP="00000000" w:rsidRDefault="00000000" w:rsidRPr="00000000" w14:paraId="0000000E">
      <w:pPr>
        <w:jc w:val="both"/>
        <w:rPr/>
      </w:pPr>
      <w:r w:rsidDel="00000000" w:rsidR="00000000" w:rsidRPr="00000000">
        <w:rPr>
          <w:rtl w:val="0"/>
        </w:rPr>
        <w:t xml:space="preserve">CINQUÈ.- Que aquesta afectació es veu agreujada per la condició de menor d’edat, essent plenament aplicable el principi de l’interès superior del menor (article 3 de la Convenció sobre els Drets de l’Infant i articles 2 i 11 de la Llei Orgànica 1/1996), que obliga a tots els poders públics, inclosos els òrgans judicials, a adoptar les mesures necessàries per evitar perjudicis irreparables.</w:t>
      </w:r>
    </w:p>
    <w:p w:rsidR="00000000" w:rsidDel="00000000" w:rsidP="00000000" w:rsidRDefault="00000000" w:rsidRPr="00000000" w14:paraId="0000000F">
      <w:pPr>
        <w:spacing w:after="0" w:lineRule="auto"/>
        <w:jc w:val="both"/>
        <w:rPr/>
      </w:pPr>
      <w:r w:rsidDel="00000000" w:rsidR="00000000" w:rsidRPr="00000000">
        <w:rPr>
          <w:rtl w:val="0"/>
        </w:rPr>
        <w:t xml:space="preserve">SISÈ.- Que, La Llei 12/2023, de 24 de maig, pel dret a l'habitatge estableix com a objectius de la Llei l'efectivitat dels drets d'accés a un habitatge digne i adequat, no sols d'acord amb la Constitució, sinó ateses les recomanacions dels instruments internacionals ratificats per Espanya (arts. 1.1, 2.a) Llei 12/2023).</w:t>
        <w:br w:type="textWrapping"/>
        <w:br w:type="textWrapping"/>
        <w:t xml:space="preserve"> Per part seva, l'article 7 de la Llei 17/2022 estableix que:</w:t>
        <w:br w:type="textWrapping"/>
        <w:br w:type="textWrapping"/>
        <w:t xml:space="preserve"> “</w:t>
      </w:r>
      <w:r w:rsidDel="00000000" w:rsidR="00000000" w:rsidRPr="00000000">
        <w:rPr>
          <w:i w:val="1"/>
          <w:iCs w:val="1"/>
          <w:rtl w:val="0"/>
        </w:rPr>
        <w:t xml:space="preserve">La interpretació del contingut d'aquesta llei, així com l'actuació dels poders </w:t>
      </w:r>
      <w:r w:rsidDel="00000000" w:rsidR="00000000" w:rsidRPr="00000000">
        <w:rPr>
          <w:rtl w:val="0"/>
        </w:rPr>
        <w:t xml:space="preserve">   </w:t>
      </w:r>
      <w:r w:rsidDel="00000000" w:rsidR="00000000" w:rsidRPr="00000000">
        <w:rPr>
          <w:i w:val="1"/>
          <w:iCs w:val="1"/>
          <w:rtl w:val="0"/>
        </w:rPr>
        <w:t xml:space="preserve">públics, s'ajustarà amb els instruments internacionals aplicables dels quals l'Estat sigui part en matèria de drets humans, </w:t>
      </w:r>
      <w:r w:rsidDel="00000000" w:rsidR="00000000" w:rsidRPr="00000000">
        <w:rPr>
          <w:b w:val="1"/>
          <w:bCs w:val="1"/>
          <w:i w:val="1"/>
          <w:iCs w:val="1"/>
          <w:rtl w:val="0"/>
        </w:rPr>
        <w:t xml:space="preserve">així com amb la jurisprudència emesa pels òrgans jurisdiccionals internacionals i altra legislació aplicable</w:t>
      </w:r>
      <w:r w:rsidDel="00000000" w:rsidR="00000000" w:rsidRPr="00000000">
        <w:rPr>
          <w:i w:val="1"/>
          <w:iCs w:val="1"/>
          <w:rtl w:val="0"/>
        </w:rPr>
        <w:t xml:space="preserve">, i tindrà en compte </w:t>
      </w:r>
      <w:r w:rsidDel="00000000" w:rsidR="00000000" w:rsidRPr="00000000">
        <w:rPr>
          <w:i w:val="1"/>
          <w:iCs w:val="1"/>
          <w:u w:val="single"/>
          <w:rtl w:val="0"/>
        </w:rPr>
        <w:t xml:space="preserve">les recomanacions i resolucions adoptades pels organismes internacionals multilaterals i regionals</w:t>
      </w:r>
      <w:r w:rsidDel="00000000" w:rsidR="00000000" w:rsidRPr="00000000">
        <w:rPr>
          <w:i w:val="1"/>
          <w:iCs w:val="1"/>
          <w:rtl w:val="0"/>
        </w:rPr>
        <w:t xml:space="preserve">.</w:t>
        <w:br w:type="textWrapping"/>
        <w:br w:type="textWrapping"/>
      </w:r>
      <w:r w:rsidDel="00000000" w:rsidR="00000000" w:rsidRPr="00000000">
        <w:rPr>
          <w:rtl w:val="0"/>
        </w:rPr>
        <w:t xml:space="preserve"> </w:t>
      </w:r>
      <w:r w:rsidDel="00000000" w:rsidR="00000000" w:rsidRPr="00000000">
        <w:rPr>
          <w:i w:val="1"/>
          <w:iCs w:val="1"/>
          <w:rtl w:val="0"/>
        </w:rPr>
        <w:t xml:space="preserve">Per als efectes de l'apartat anterior, </w:t>
      </w:r>
      <w:r w:rsidDel="00000000" w:rsidR="00000000" w:rsidRPr="00000000">
        <w:rPr>
          <w:b w:val="1"/>
          <w:bCs w:val="1"/>
          <w:i w:val="1"/>
          <w:iCs w:val="1"/>
          <w:rtl w:val="0"/>
        </w:rPr>
        <w:t xml:space="preserve">quan es presentin diferents interpretacions, s'haurà de preferir aquella que protegeixi amb major eficàcia a les persones</w:t>
      </w:r>
      <w:r w:rsidDel="00000000" w:rsidR="00000000" w:rsidRPr="00000000">
        <w:rPr>
          <w:i w:val="1"/>
          <w:iCs w:val="1"/>
          <w:rtl w:val="0"/>
        </w:rPr>
        <w:t xml:space="preserve"> o als grups que siguin afectats per conductes discriminatòries o intolerants</w:t>
      </w:r>
      <w:r w:rsidDel="00000000" w:rsidR="00000000" w:rsidRPr="00000000">
        <w:rPr>
          <w:rtl w:val="0"/>
        </w:rPr>
        <w:t xml:space="preserve">”.</w:t>
        <w:br w:type="textWrapping"/>
        <w:br w:type="textWrapping"/>
        <w:t xml:space="preserve"> Aquestes disposicions venen a reforçar la necessitat d'interpretar els drets fonamentals segons el que es preveu en l'article 10.2 de la CE, estendre la seva aplicació a l'àmbit del dret a l'habitatge, i aplicar l'article 96 de la CE en tots dos àmbits del dret a l'habitatge i la igualtat de tracte i no discriminació.</w:t>
      </w:r>
    </w:p>
    <w:p w:rsidR="00000000" w:rsidDel="00000000" w:rsidP="00000000" w:rsidRDefault="00000000" w:rsidRPr="00000000" w14:paraId="00000010">
      <w:pPr>
        <w:jc w:val="both"/>
        <w:rPr/>
      </w:pPr>
      <w:r w:rsidDel="00000000" w:rsidR="00000000" w:rsidRPr="00000000">
        <w:rPr>
          <w:rtl w:val="0"/>
        </w:rPr>
        <w:t xml:space="preserve"> </w:t>
      </w:r>
    </w:p>
    <w:p w:rsidR="00000000" w:rsidDel="00000000" w:rsidP="00000000" w:rsidRDefault="00000000" w:rsidRPr="00000000" w14:paraId="00000011">
      <w:pPr>
        <w:jc w:val="both"/>
        <w:rPr/>
      </w:pPr>
      <w:r w:rsidDel="00000000" w:rsidR="00000000" w:rsidRPr="00000000">
        <w:rPr>
          <w:rtl w:val="0"/>
        </w:rPr>
        <w:t xml:space="preserve">SETÈ.- Que d’acord amb la jurisprudència del Tribunal Europeu de Drets Humans (entre d’altres, assumptes </w:t>
      </w:r>
      <w:r w:rsidDel="00000000" w:rsidR="00000000" w:rsidRPr="00000000">
        <w:rPr>
          <w:i w:val="1"/>
          <w:iCs w:val="1"/>
          <w:rtl w:val="0"/>
        </w:rPr>
        <w:t xml:space="preserve">Winterstein and Others v. France i Yordanova and Others v. Bulgaria</w:t>
      </w:r>
      <w:r w:rsidDel="00000000" w:rsidR="00000000" w:rsidRPr="00000000">
        <w:rPr>
          <w:rtl w:val="0"/>
        </w:rPr>
        <w:t xml:space="preserve">), les mesures d’expulsió del domicili exigeixen una valoració de proporcionalitat per part de l’òrgan judicial, especialment en presència de situacions de vulnerabilitat.</w:t>
      </w:r>
    </w:p>
    <w:p w:rsidR="00000000" w:rsidDel="00000000" w:rsidP="00000000" w:rsidRDefault="00000000" w:rsidRPr="00000000" w14:paraId="00000012">
      <w:pPr>
        <w:jc w:val="both"/>
        <w:rPr/>
      </w:pPr>
      <w:r w:rsidDel="00000000" w:rsidR="00000000" w:rsidRPr="00000000">
        <w:rPr>
          <w:rtl w:val="0"/>
        </w:rPr>
        <w:t xml:space="preserve">VUITÈ.- Que el Comitè de Drets Econòmics, Socials i Culturals (Comitè DESC) de les Nacions Unides, encarregat de supervisar el Pacte Internacional de Drets Econòmics, Socials i Culturals, ha identificat vulneracions del dret a l’habitatge per part de l’Estat espanyol en casos d’unitats familias amb infants que van ser desnonades. Concretament, el Comitè ha advertit que:</w:t>
      </w:r>
    </w:p>
    <w:p w:rsidR="00000000" w:rsidDel="00000000" w:rsidP="00000000" w:rsidRDefault="00000000" w:rsidRPr="00000000" w14:paraId="00000013">
      <w:pPr>
        <w:ind w:left="700" w:firstLine="700"/>
        <w:jc w:val="both"/>
        <w:rPr/>
      </w:pPr>
      <w:r w:rsidDel="00000000" w:rsidR="00000000" w:rsidRPr="00000000">
        <w:rPr>
          <w:i w:val="1"/>
          <w:iCs w:val="1"/>
          <w:rtl w:val="0"/>
        </w:rPr>
        <w:t xml:space="preserve">en virtut del principi d'autonomia progressiva, els fills havien de ser sentits en el procés, la qual cosa no va ocórrer en aquest cas. Tampoc els tribunals van considerar la condició de l'autora de dona, mare i cap de família a càrrec de dos nens en situació econòmica precària i l'impacte desproporcionat que el desallotjament tindria sobre ella i els seus fills, a causa de la discriminació que sofreixen les dones, la falta d'iguals oportunitats per a l'accés a un habitatge adequat i a l'ocupació, així com per les tasques de cura que realitzen desproporcionades en relació amb els homes</w:t>
      </w:r>
      <w:r w:rsidDel="00000000" w:rsidR="00000000" w:rsidRPr="00000000">
        <w:rPr>
          <w:rtl w:val="0"/>
        </w:rPr>
        <w:t xml:space="preserve"> (Dictamen del Comitè DESC Sara Vázquez Guerreiro c. Espanya</w:t>
      </w:r>
      <w:r w:rsidDel="00000000" w:rsidR="00000000" w:rsidRPr="00000000">
        <w:rPr>
          <w:rFonts w:ascii="Arial" w:cs="Arial" w:eastAsia="Arial" w:hAnsi="Arial"/>
          <w:rtl w:val="0"/>
        </w:rPr>
        <w:t xml:space="preserve">[1]</w:t>
      </w:r>
      <w:r w:rsidDel="00000000" w:rsidR="00000000" w:rsidRPr="00000000">
        <w:rPr>
          <w:rtl w:val="0"/>
        </w:rPr>
        <w:t xml:space="preserve">).</w:t>
      </w:r>
    </w:p>
    <w:p w:rsidR="00000000" w:rsidDel="00000000" w:rsidP="00000000" w:rsidRDefault="00000000" w:rsidRPr="00000000" w14:paraId="00000014">
      <w:pPr>
        <w:jc w:val="both"/>
        <w:rPr/>
      </w:pPr>
      <w:r w:rsidDel="00000000" w:rsidR="00000000" w:rsidRPr="00000000">
        <w:rPr>
          <w:rtl w:val="0"/>
        </w:rPr>
        <w:t xml:space="preserve"> </w:t>
      </w:r>
    </w:p>
    <w:p w:rsidR="00000000" w:rsidDel="00000000" w:rsidP="00000000" w:rsidRDefault="00000000" w:rsidRPr="00000000" w14:paraId="00000015">
      <w:pPr>
        <w:jc w:val="both"/>
        <w:rPr/>
      </w:pPr>
      <w:r w:rsidDel="00000000" w:rsidR="00000000" w:rsidRPr="00000000">
        <w:rPr>
          <w:rtl w:val="0"/>
        </w:rPr>
        <w:t xml:space="preserve">NOVÈ.- Que la normativa estatal vigent (Llei 12/2023, pel dret a l’habitatge i Reial decret llei 29/2026, de 6 d'octubre, pel qual s'adopten mesures urgents per a la protecció de la funció social de l'habitatge i l'ampliació de l'oferta d'habitatge assequible) estableix mecanismes de protecció i eventual suspensió dels procediments de desnonament en supòsits de vulnerabilitat econòmica i social, especialment quan hi ha menors.</w:t>
      </w:r>
    </w:p>
    <w:p w:rsidR="00000000" w:rsidDel="00000000" w:rsidP="00000000" w:rsidRDefault="00000000" w:rsidRPr="00000000" w14:paraId="00000016">
      <w:pPr>
        <w:jc w:val="both"/>
        <w:rPr/>
      </w:pPr>
      <w:r w:rsidDel="00000000" w:rsidR="00000000" w:rsidRPr="00000000">
        <w:rPr>
          <w:rtl w:val="0"/>
        </w:rPr>
        <w:t xml:space="preserve">DESÈ.- Que, el Tribunal Constitucional ha establert que la falta de motivació reforçada davant de sol·licituds de suspensió del desnonament, amb presència d’un menor amb discapacitat, vulnera la tutela judicial efectiva amb especial rellevància a l’interès superior del menor (STC 113/2021).</w:t>
      </w:r>
    </w:p>
    <w:p w:rsidR="00000000" w:rsidDel="00000000" w:rsidP="00000000" w:rsidRDefault="00000000" w:rsidRPr="00000000" w14:paraId="00000017">
      <w:pPr>
        <w:jc w:val="both"/>
        <w:rPr/>
      </w:pPr>
      <w:r w:rsidDel="00000000" w:rsidR="00000000" w:rsidRPr="00000000">
        <w:rPr>
          <w:rtl w:val="0"/>
        </w:rPr>
        <w:t xml:space="preserve">De la mateixa manera, ha establert que l’ordre de desnonament no exclou que les administracions públiques competents hagin d’atendre, conforme les disposicions aplicables i els mitjans disponibles,  a les situacions d’exclusió residencial  que es puguin produir, en particular quan afectin a persones especialment vulnerables (STC 32/2019).</w:t>
      </w:r>
    </w:p>
    <w:p w:rsidR="00000000" w:rsidDel="00000000" w:rsidP="00000000" w:rsidRDefault="00000000" w:rsidRPr="00000000" w14:paraId="00000018">
      <w:pPr>
        <w:jc w:val="both"/>
        <w:rPr/>
      </w:pPr>
      <w:r w:rsidDel="00000000" w:rsidR="00000000" w:rsidRPr="00000000">
        <w:rPr>
          <w:rtl w:val="0"/>
        </w:rPr>
        <w:t xml:space="preserve">I també ha reiterat que un llistat tancat o taxat d'oposició previst en una norma processal, no eximeix del deure de motivació reforçada que incumbeix l'òrgan judicial quan pot estar afectada la protecció dels menors, de les persones amb discapacitat i de les famílies (STC 113/2021; 161/2021).</w:t>
      </w:r>
    </w:p>
    <w:p w:rsidR="00000000" w:rsidDel="00000000" w:rsidP="00000000" w:rsidRDefault="00000000" w:rsidRPr="00000000" w14:paraId="00000019">
      <w:pPr>
        <w:jc w:val="both"/>
        <w:rPr/>
      </w:pPr>
      <w:r w:rsidDel="00000000" w:rsidR="00000000" w:rsidRPr="00000000">
        <w:rPr>
          <w:rtl w:val="0"/>
        </w:rPr>
        <w:t xml:space="preserve">ONZÈ.- Que, en l’àmbit autonòmic, l’article 5.6 de la Llei 24/2015 imposa a les administracions públiques l’obligació de garantir el reallotjament adequat de les unitats familiars en risc d’exclusió residencial, de manera que l’execució d’un desnonament sense aquesta garantia pot resultar contrària al marc normatiu vigent.</w:t>
      </w:r>
    </w:p>
    <w:p w:rsidR="00000000" w:rsidDel="00000000" w:rsidP="00000000" w:rsidRDefault="00000000" w:rsidRPr="00000000" w14:paraId="0000001A">
      <w:pPr>
        <w:jc w:val="both"/>
        <w:rPr/>
      </w:pPr>
      <w:r w:rsidDel="00000000" w:rsidR="00000000" w:rsidRPr="00000000">
        <w:rPr>
          <w:rtl w:val="0"/>
        </w:rPr>
        <w:t xml:space="preserve">DOTZÈ.- Que la concurrència de tots aquests elements exigeix una ponderació reforçada dels interessos en joc, en la qual el dret de propietat o crèdit del demandant ha de ser equilibrat amb els drets fonamentals del menor afectat, d’acord amb la doctrina constitucional sobre la necessitat d’evitar sacrificis desproporcionats de drets fonamentals.</w:t>
      </w:r>
    </w:p>
    <w:p w:rsidR="00000000" w:rsidDel="00000000" w:rsidP="00000000" w:rsidRDefault="00000000" w:rsidRPr="00000000" w14:paraId="0000001B">
      <w:pPr>
        <w:jc w:val="both"/>
        <w:rPr/>
      </w:pPr>
      <w:r w:rsidDel="00000000" w:rsidR="00000000" w:rsidRPr="00000000">
        <w:rPr>
          <w:rtl w:val="0"/>
        </w:rPr>
        <w:t xml:space="preserve">TRETZÈ.- Que l’execució del llançament en el moment actual, sense mesures compensatòries o de protecció, pot generar un perjudici irreparable en el menor, especialment en el seu desenvolupament educatiu, emocional i social.</w:t>
      </w:r>
    </w:p>
    <w:p w:rsidR="00000000" w:rsidDel="00000000" w:rsidP="00000000" w:rsidRDefault="00000000" w:rsidRPr="00000000" w14:paraId="0000001C">
      <w:pPr>
        <w:jc w:val="both"/>
        <w:rPr/>
      </w:pPr>
      <w:r w:rsidDel="00000000" w:rsidR="00000000" w:rsidRPr="00000000">
        <w:rPr>
          <w:rtl w:val="0"/>
        </w:rPr>
        <w:t xml:space="preserve">Per tot l’exposat,</w:t>
      </w:r>
    </w:p>
    <w:p w:rsidR="00000000" w:rsidDel="00000000" w:rsidP="00000000" w:rsidRDefault="00000000" w:rsidRPr="00000000" w14:paraId="0000001D">
      <w:pPr>
        <w:jc w:val="both"/>
        <w:rPr>
          <w:b w:val="1"/>
          <w:bCs w:val="1"/>
        </w:rPr>
      </w:pPr>
      <w:r w:rsidDel="00000000" w:rsidR="00000000" w:rsidRPr="00000000">
        <w:rPr>
          <w:b w:val="1"/>
          <w:bCs w:val="1"/>
          <w:rtl w:val="0"/>
        </w:rPr>
        <w:t xml:space="preserve">SUPLICO AL JUTJAT:</w:t>
      </w:r>
    </w:p>
    <w:p w:rsidR="00000000" w:rsidDel="00000000" w:rsidP="00000000" w:rsidRDefault="00000000" w:rsidRPr="00000000" w14:paraId="0000001E">
      <w:pPr>
        <w:jc w:val="both"/>
        <w:rPr/>
      </w:pPr>
      <w:r w:rsidDel="00000000" w:rsidR="00000000" w:rsidRPr="00000000">
        <w:rPr>
          <w:rtl w:val="0"/>
        </w:rPr>
        <w:t xml:space="preserve">1.- Que tingui per presentat aquest escrit i per formulades les anteriors manifestacions.</w:t>
      </w:r>
    </w:p>
    <w:p w:rsidR="00000000" w:rsidDel="00000000" w:rsidP="00000000" w:rsidRDefault="00000000" w:rsidRPr="00000000" w14:paraId="0000001F">
      <w:pPr>
        <w:jc w:val="both"/>
        <w:rPr/>
      </w:pPr>
      <w:r w:rsidDel="00000000" w:rsidR="00000000" w:rsidRPr="00000000">
        <w:rPr>
          <w:rtl w:val="0"/>
        </w:rPr>
        <w:t xml:space="preserve">2.- Que, en aplicació del principi d’interès superior del menor, del control de proporcionalitat i de la normativa exposada, valori la possibilitat d’adoptar les mesures oportunes per a la seva protecció, incloent la possible suspensió del llançament assenyalat.</w:t>
      </w:r>
    </w:p>
    <w:p w:rsidR="00000000" w:rsidDel="00000000" w:rsidP="00000000" w:rsidRDefault="00000000" w:rsidRPr="00000000" w14:paraId="00000020">
      <w:pPr>
        <w:jc w:val="both"/>
        <w:rPr/>
      </w:pPr>
      <w:r w:rsidDel="00000000" w:rsidR="00000000" w:rsidRPr="00000000">
        <w:rPr>
          <w:rtl w:val="0"/>
        </w:rPr>
        <w:t xml:space="preserve">3.- Que aquestes mesures es puguin mantenir, com a mínim, fins a la finalització del curs escolar vigent, a fi de preservar la continuïtat educativa del menor.</w:t>
      </w:r>
    </w:p>
    <w:p w:rsidR="00000000" w:rsidDel="00000000" w:rsidP="00000000" w:rsidRDefault="00000000" w:rsidRPr="00000000" w14:paraId="00000021">
      <w:pPr>
        <w:jc w:val="both"/>
        <w:rPr/>
      </w:pPr>
      <w:r w:rsidDel="00000000" w:rsidR="00000000" w:rsidRPr="00000000">
        <w:rPr>
          <w:rtl w:val="0"/>
        </w:rPr>
        <w:t xml:space="preserve">4.- Subsidiàriament, que s’adoptin mesures fins que es garanteixi un reallotjament adequat per part de l’administració competent.</w:t>
      </w:r>
    </w:p>
    <w:p w:rsidR="00000000" w:rsidDel="00000000" w:rsidP="00000000" w:rsidRDefault="00000000" w:rsidRPr="00000000" w14:paraId="00000022">
      <w:pPr>
        <w:jc w:val="both"/>
        <w:rPr/>
      </w:pPr>
      <w:r w:rsidDel="00000000" w:rsidR="00000000" w:rsidRPr="00000000">
        <w:rPr>
          <w:rtl w:val="0"/>
        </w:rPr>
        <w:t xml:space="preserve">5.- Que, si escau, es requereixi als serveis socials i a l’administració en matèria d’habitatge perquè informin sobre la situació de vulnerabilitat i les mesures adoptades per donar compliment a les obligacions legals de reallotjament.</w:t>
      </w:r>
    </w:p>
    <w:p w:rsidR="00000000" w:rsidDel="00000000" w:rsidP="00000000" w:rsidRDefault="00000000" w:rsidRPr="00000000" w14:paraId="00000023">
      <w:pPr>
        <w:jc w:val="both"/>
        <w:rPr>
          <w:color w:val="a02b93"/>
        </w:rPr>
      </w:pPr>
      <w:r w:rsidDel="00000000" w:rsidR="00000000" w:rsidRPr="00000000">
        <w:rPr>
          <w:rtl w:val="0"/>
        </w:rPr>
        <w:t xml:space="preserve">És justícia que demano </w:t>
      </w:r>
      <w:r w:rsidDel="00000000" w:rsidR="00000000" w:rsidRPr="00000000">
        <w:rPr>
          <w:color w:val="a02b93"/>
          <w:rtl w:val="0"/>
        </w:rPr>
        <w:t xml:space="preserve">a [localitat], a [data].</w:t>
      </w:r>
    </w:p>
    <w:p w:rsidR="00000000" w:rsidDel="00000000" w:rsidP="00000000" w:rsidRDefault="00000000" w:rsidRPr="00000000" w14:paraId="00000024">
      <w:pPr>
        <w:jc w:val="both"/>
        <w:rPr>
          <w:color w:val="a02b93"/>
        </w:rPr>
      </w:pPr>
      <w:r w:rsidDel="00000000" w:rsidR="00000000" w:rsidRPr="00000000">
        <w:rPr>
          <w:rtl w:val="0"/>
        </w:rPr>
        <w:t xml:space="preserve">Signatura</w:t>
        <w:br w:type="textWrapping"/>
        <w:t xml:space="preserve"> </w:t>
      </w:r>
      <w:r w:rsidDel="00000000" w:rsidR="00000000" w:rsidRPr="00000000">
        <w:rPr>
          <w:color w:val="a02b93"/>
          <w:rtl w:val="0"/>
        </w:rPr>
        <w:t xml:space="preserve">[Nom i càrrec]</w:t>
      </w:r>
    </w:p>
    <w:p w:rsidR="00000000" w:rsidDel="00000000" w:rsidP="00000000" w:rsidRDefault="00000000" w:rsidRPr="00000000" w14:paraId="00000025">
      <w:pPr>
        <w:rPr/>
      </w:pP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pacing w:after="0" w:lineRule="auto"/>
        <w:rPr>
          <w:color w:val="1155cc"/>
          <w:sz w:val="20"/>
          <w:szCs w:val="20"/>
          <w:u w:val="single"/>
        </w:rPr>
      </w:pPr>
      <w:r w:rsidDel="00000000" w:rsidR="00000000" w:rsidRPr="00000000">
        <w:rPr>
          <w:rFonts w:ascii="Arial" w:cs="Arial" w:eastAsia="Arial" w:hAnsi="Arial"/>
          <w:sz w:val="20"/>
          <w:szCs w:val="20"/>
          <w:rtl w:val="0"/>
        </w:rPr>
        <w:t xml:space="preserve">[1]</w:t>
      </w:r>
      <w:r w:rsidDel="00000000" w:rsidR="00000000" w:rsidRPr="00000000">
        <w:rPr>
          <w:sz w:val="20"/>
          <w:szCs w:val="20"/>
          <w:rtl w:val="0"/>
        </w:rPr>
        <w:t xml:space="preserve"> Disponible a:</w:t>
      </w:r>
      <w:hyperlink r:id="rId7">
        <w:r w:rsidDel="00000000" w:rsidR="00000000" w:rsidRPr="00000000">
          <w:rPr>
            <w:sz w:val="20"/>
            <w:szCs w:val="20"/>
            <w:rtl w:val="0"/>
          </w:rPr>
          <w:t xml:space="preserve"> </w:t>
        </w:r>
      </w:hyperlink>
      <w:hyperlink r:id="rId8">
        <w:r w:rsidDel="00000000" w:rsidR="00000000" w:rsidRPr="00000000">
          <w:rPr>
            <w:color w:val="1155cc"/>
            <w:sz w:val="20"/>
            <w:szCs w:val="20"/>
            <w:u w:val="single"/>
            <w:rtl w:val="0"/>
          </w:rPr>
          <w:t xml:space="preserve">https://documents.un.org/doc/undoc/gen/g23/219/25/pdf/g2321925.pdf</w:t>
        </w:r>
      </w:hyperlink>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headerReference r:id="rId9"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989647" cy="398707"/>
          <wp:effectExtent b="0" l="0" r="0" t="0"/>
          <wp:docPr id="31630693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89647" cy="398707"/>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4790130</wp:posOffset>
          </wp:positionH>
          <wp:positionV relativeFrom="paragraph">
            <wp:posOffset>-238124</wp:posOffset>
          </wp:positionV>
          <wp:extent cx="608622" cy="782320"/>
          <wp:effectExtent b="0" l="0" r="0" t="0"/>
          <wp:wrapSquare wrapText="bothSides" distB="0" distT="0" distL="114300" distR="114300"/>
          <wp:docPr id="316306930"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08622" cy="782320"/>
                  </a:xfrm>
                  <a:prstGeom prst="rect"/>
                  <a:ln/>
                </pic:spPr>
              </pic:pic>
            </a:graphicData>
          </a:graphic>
        </wp:anchor>
      </w:drawing>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c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456481"/>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456481"/>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456481"/>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456481"/>
    <w:rPr>
      <w:rFonts w:asciiTheme="majorHAnsi" w:cstheme="majorBidi" w:eastAsiaTheme="majorEastAsia" w:hAnsiTheme="majorHAnsi"/>
      <w:color w:val="0f4761" w:themeColor="accent1" w:themeShade="0000BF"/>
      <w:sz w:val="40"/>
      <w:szCs w:val="40"/>
      <w:lang w:val="ca-ES"/>
    </w:rPr>
  </w:style>
  <w:style w:type="character" w:styleId="Ttulo2Car" w:customStyle="1">
    <w:name w:val="Título 2 Car"/>
    <w:basedOn w:val="Fuentedeprrafopredeter"/>
    <w:link w:val="Ttulo2"/>
    <w:uiPriority w:val="9"/>
    <w:semiHidden w:val="1"/>
    <w:rsid w:val="00456481"/>
    <w:rPr>
      <w:rFonts w:asciiTheme="majorHAnsi" w:cstheme="majorBidi" w:eastAsiaTheme="majorEastAsia" w:hAnsiTheme="majorHAnsi"/>
      <w:color w:val="0f4761" w:themeColor="accent1" w:themeShade="0000BF"/>
      <w:sz w:val="32"/>
      <w:szCs w:val="32"/>
      <w:lang w:val="ca-ES"/>
    </w:rPr>
  </w:style>
  <w:style w:type="character" w:styleId="Ttulo3Car" w:customStyle="1">
    <w:name w:val="Título 3 Car"/>
    <w:basedOn w:val="Fuentedeprrafopredeter"/>
    <w:link w:val="Ttulo3"/>
    <w:uiPriority w:val="9"/>
    <w:semiHidden w:val="1"/>
    <w:rsid w:val="00456481"/>
    <w:rPr>
      <w:rFonts w:cstheme="majorBidi" w:eastAsiaTheme="majorEastAsia"/>
      <w:color w:val="0f4761" w:themeColor="accent1" w:themeShade="0000BF"/>
      <w:sz w:val="28"/>
      <w:szCs w:val="28"/>
      <w:lang w:val="ca-ES"/>
    </w:rPr>
  </w:style>
  <w:style w:type="character" w:styleId="Ttulo4Car" w:customStyle="1">
    <w:name w:val="Título 4 Car"/>
    <w:basedOn w:val="Fuentedeprrafopredeter"/>
    <w:link w:val="Ttulo4"/>
    <w:uiPriority w:val="9"/>
    <w:semiHidden w:val="1"/>
    <w:rsid w:val="00456481"/>
    <w:rPr>
      <w:rFonts w:cstheme="majorBidi" w:eastAsiaTheme="majorEastAsia"/>
      <w:i w:val="1"/>
      <w:iCs w:val="1"/>
      <w:color w:val="0f4761" w:themeColor="accent1" w:themeShade="0000BF"/>
      <w:lang w:val="ca-ES"/>
    </w:rPr>
  </w:style>
  <w:style w:type="character" w:styleId="Ttulo5Car" w:customStyle="1">
    <w:name w:val="Título 5 Car"/>
    <w:basedOn w:val="Fuentedeprrafopredeter"/>
    <w:link w:val="Ttulo5"/>
    <w:uiPriority w:val="9"/>
    <w:semiHidden w:val="1"/>
    <w:rsid w:val="00456481"/>
    <w:rPr>
      <w:rFonts w:cstheme="majorBidi" w:eastAsiaTheme="majorEastAsia"/>
      <w:color w:val="0f4761" w:themeColor="accent1" w:themeShade="0000BF"/>
      <w:lang w:val="ca-ES"/>
    </w:rPr>
  </w:style>
  <w:style w:type="character" w:styleId="Ttulo6Car" w:customStyle="1">
    <w:name w:val="Título 6 Car"/>
    <w:basedOn w:val="Fuentedeprrafopredeter"/>
    <w:link w:val="Ttulo6"/>
    <w:uiPriority w:val="9"/>
    <w:semiHidden w:val="1"/>
    <w:rsid w:val="00456481"/>
    <w:rPr>
      <w:rFonts w:cstheme="majorBidi" w:eastAsiaTheme="majorEastAsia"/>
      <w:i w:val="1"/>
      <w:iCs w:val="1"/>
      <w:color w:val="595959" w:themeColor="text1" w:themeTint="0000A6"/>
      <w:lang w:val="ca-ES"/>
    </w:rPr>
  </w:style>
  <w:style w:type="character" w:styleId="Ttulo7Car" w:customStyle="1">
    <w:name w:val="Título 7 Car"/>
    <w:basedOn w:val="Fuentedeprrafopredeter"/>
    <w:link w:val="Ttulo7"/>
    <w:uiPriority w:val="9"/>
    <w:semiHidden w:val="1"/>
    <w:rsid w:val="00456481"/>
    <w:rPr>
      <w:rFonts w:cstheme="majorBidi" w:eastAsiaTheme="majorEastAsia"/>
      <w:color w:val="595959" w:themeColor="text1" w:themeTint="0000A6"/>
      <w:lang w:val="ca-ES"/>
    </w:rPr>
  </w:style>
  <w:style w:type="character" w:styleId="Ttulo8Car" w:customStyle="1">
    <w:name w:val="Título 8 Car"/>
    <w:basedOn w:val="Fuentedeprrafopredeter"/>
    <w:link w:val="Ttulo8"/>
    <w:uiPriority w:val="9"/>
    <w:semiHidden w:val="1"/>
    <w:rsid w:val="00456481"/>
    <w:rPr>
      <w:rFonts w:cstheme="majorBidi" w:eastAsiaTheme="majorEastAsia"/>
      <w:i w:val="1"/>
      <w:iCs w:val="1"/>
      <w:color w:val="272727" w:themeColor="text1" w:themeTint="0000D8"/>
      <w:lang w:val="ca-ES"/>
    </w:rPr>
  </w:style>
  <w:style w:type="character" w:styleId="Ttulo9Car" w:customStyle="1">
    <w:name w:val="Título 9 Car"/>
    <w:basedOn w:val="Fuentedeprrafopredeter"/>
    <w:link w:val="Ttulo9"/>
    <w:uiPriority w:val="9"/>
    <w:semiHidden w:val="1"/>
    <w:rsid w:val="00456481"/>
    <w:rPr>
      <w:rFonts w:cstheme="majorBidi" w:eastAsiaTheme="majorEastAsia"/>
      <w:color w:val="272727" w:themeColor="text1" w:themeTint="0000D8"/>
      <w:lang w:val="ca-ES"/>
    </w:rPr>
  </w:style>
  <w:style w:type="character" w:styleId="TtuloCar" w:customStyle="1">
    <w:name w:val="Título Car"/>
    <w:basedOn w:val="Fuentedeprrafopredeter"/>
    <w:link w:val="Ttulo"/>
    <w:uiPriority w:val="10"/>
    <w:rsid w:val="00456481"/>
    <w:rPr>
      <w:rFonts w:asciiTheme="majorHAnsi" w:cstheme="majorBidi" w:eastAsiaTheme="majorEastAsia" w:hAnsiTheme="majorHAnsi"/>
      <w:spacing w:val="-10"/>
      <w:kern w:val="28"/>
      <w:sz w:val="56"/>
      <w:szCs w:val="56"/>
      <w:lang w:val="ca-ES"/>
    </w:rPr>
  </w:style>
  <w:style w:type="character" w:styleId="SubttuloCar" w:customStyle="1">
    <w:name w:val="Subtítulo Car"/>
    <w:basedOn w:val="Fuentedeprrafopredeter"/>
    <w:link w:val="Subttulo"/>
    <w:uiPriority w:val="11"/>
    <w:rsid w:val="00456481"/>
    <w:rPr>
      <w:rFonts w:cstheme="majorBidi" w:eastAsiaTheme="majorEastAsia"/>
      <w:color w:val="595959" w:themeColor="text1" w:themeTint="0000A6"/>
      <w:spacing w:val="15"/>
      <w:sz w:val="28"/>
      <w:szCs w:val="28"/>
      <w:lang w:val="ca-ES"/>
    </w:rPr>
  </w:style>
  <w:style w:type="paragraph" w:styleId="Cita">
    <w:name w:val="Quote"/>
    <w:basedOn w:val="Normal"/>
    <w:next w:val="Normal"/>
    <w:link w:val="CitaCar"/>
    <w:uiPriority w:val="29"/>
    <w:qFormat w:val="1"/>
    <w:rsid w:val="00456481"/>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456481"/>
    <w:rPr>
      <w:i w:val="1"/>
      <w:iCs w:val="1"/>
      <w:color w:val="404040" w:themeColor="text1" w:themeTint="0000BF"/>
      <w:lang w:val="ca-ES"/>
    </w:rPr>
  </w:style>
  <w:style w:type="paragraph" w:styleId="Prrafodelista">
    <w:name w:val="List Paragraph"/>
    <w:basedOn w:val="Normal"/>
    <w:uiPriority w:val="34"/>
    <w:qFormat w:val="1"/>
    <w:rsid w:val="00456481"/>
    <w:pPr>
      <w:ind w:left="720"/>
      <w:contextualSpacing w:val="1"/>
    </w:pPr>
  </w:style>
  <w:style w:type="character" w:styleId="nfasisintenso">
    <w:name w:val="Intense Emphasis"/>
    <w:basedOn w:val="Fuentedeprrafopredeter"/>
    <w:uiPriority w:val="21"/>
    <w:qFormat w:val="1"/>
    <w:rsid w:val="00456481"/>
    <w:rPr>
      <w:i w:val="1"/>
      <w:iCs w:val="1"/>
      <w:color w:val="0f4761" w:themeColor="accent1" w:themeShade="0000BF"/>
    </w:rPr>
  </w:style>
  <w:style w:type="paragraph" w:styleId="Citadestacada">
    <w:name w:val="Intense Quote"/>
    <w:basedOn w:val="Normal"/>
    <w:next w:val="Normal"/>
    <w:link w:val="CitadestacadaCar"/>
    <w:uiPriority w:val="30"/>
    <w:qFormat w:val="1"/>
    <w:rsid w:val="0045648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456481"/>
    <w:rPr>
      <w:i w:val="1"/>
      <w:iCs w:val="1"/>
      <w:color w:val="0f4761" w:themeColor="accent1" w:themeShade="0000BF"/>
      <w:lang w:val="ca-ES"/>
    </w:rPr>
  </w:style>
  <w:style w:type="character" w:styleId="Referenciaintensa">
    <w:name w:val="Intense Reference"/>
    <w:basedOn w:val="Fuentedeprrafopredeter"/>
    <w:uiPriority w:val="32"/>
    <w:qFormat w:val="1"/>
    <w:rsid w:val="00456481"/>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345AA0"/>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345AA0"/>
    <w:rPr>
      <w:lang w:val="ca-ES"/>
    </w:rPr>
  </w:style>
  <w:style w:type="paragraph" w:styleId="Piedepgina">
    <w:name w:val="footer"/>
    <w:basedOn w:val="Normal"/>
    <w:link w:val="PiedepginaCar"/>
    <w:uiPriority w:val="99"/>
    <w:unhideWhenUsed w:val="1"/>
    <w:rsid w:val="00345AA0"/>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345AA0"/>
    <w:rPr>
      <w:lang w:val="ca-ES"/>
    </w:rPr>
  </w:style>
  <w:style w:type="character" w:styleId="Refdecomentario">
    <w:name w:val="annotation reference"/>
    <w:basedOn w:val="Fuentedeprrafopredeter"/>
    <w:uiPriority w:val="99"/>
    <w:semiHidden w:val="1"/>
    <w:unhideWhenUsed w:val="1"/>
    <w:rsid w:val="00142B24"/>
    <w:rPr>
      <w:sz w:val="16"/>
      <w:szCs w:val="16"/>
    </w:rPr>
  </w:style>
  <w:style w:type="paragraph" w:styleId="Textocomentario">
    <w:name w:val="annotation text"/>
    <w:basedOn w:val="Normal"/>
    <w:link w:val="TextocomentarioCar"/>
    <w:uiPriority w:val="99"/>
    <w:unhideWhenUsed w:val="1"/>
    <w:rsid w:val="00142B24"/>
    <w:pPr>
      <w:spacing w:line="240" w:lineRule="auto"/>
    </w:pPr>
    <w:rPr>
      <w:sz w:val="20"/>
      <w:szCs w:val="20"/>
    </w:rPr>
  </w:style>
  <w:style w:type="character" w:styleId="TextocomentarioCar" w:customStyle="1">
    <w:name w:val="Texto comentario Car"/>
    <w:basedOn w:val="Fuentedeprrafopredeter"/>
    <w:link w:val="Textocomentario"/>
    <w:uiPriority w:val="99"/>
    <w:rsid w:val="00142B24"/>
    <w:rPr>
      <w:sz w:val="20"/>
      <w:szCs w:val="20"/>
      <w:lang w:val="ca-ES"/>
    </w:rPr>
  </w:style>
  <w:style w:type="paragraph" w:styleId="Asuntodelcomentario">
    <w:name w:val="annotation subject"/>
    <w:basedOn w:val="Textocomentario"/>
    <w:next w:val="Textocomentario"/>
    <w:link w:val="AsuntodelcomentarioCar"/>
    <w:uiPriority w:val="99"/>
    <w:semiHidden w:val="1"/>
    <w:unhideWhenUsed w:val="1"/>
    <w:rsid w:val="00142B24"/>
    <w:rPr>
      <w:b w:val="1"/>
      <w:bCs w:val="1"/>
    </w:rPr>
  </w:style>
  <w:style w:type="character" w:styleId="AsuntodelcomentarioCar" w:customStyle="1">
    <w:name w:val="Asunto del comentario Car"/>
    <w:basedOn w:val="TextocomentarioCar"/>
    <w:link w:val="Asuntodelcomentario"/>
    <w:uiPriority w:val="99"/>
    <w:semiHidden w:val="1"/>
    <w:rsid w:val="00142B24"/>
    <w:rPr>
      <w:b w:val="1"/>
      <w:bCs w:val="1"/>
      <w:sz w:val="20"/>
      <w:szCs w:val="20"/>
      <w:lang w:val="ca-ES"/>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uments.un.org/doc/undoc/gen/g23/219/25/pdf/g2321925.pdf" TargetMode="External"/><Relationship Id="rId8" Type="http://schemas.openxmlformats.org/officeDocument/2006/relationships/hyperlink" Target="https://documents.un.org/doc/undoc/gen/g23/219/25/pdf/g2321925.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v8tGo1LowsPb/gaN2VOtJDpEHw==">CgMxLjA4AHIhMTRIQS1wdE8taHN3LThTbGphSTJZb3c5QzhJeU9VbWV0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2026-04-30T10:32:00Z</dcterms:created>
  <dc:creator>Lucía Delgado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0x01010065A0C1D72CAD89418BE757CDE1DE7D10</vt:lpwstr>
  </property>
  <property fmtid="{D5CDD505-2E9C-101B-9397-08002B2CF9AE}" pid="3" name="MediaServiceImageTags">
    <vt:lpwstr/>
  </property>
</Properties>
</file>